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F20" w:rsidRPr="009B6AA9" w:rsidRDefault="008C37DD" w:rsidP="00B50E85">
      <w:pPr>
        <w:jc w:val="right"/>
        <w:rPr>
          <w:b/>
        </w:rPr>
      </w:pPr>
      <w:r>
        <w:rPr>
          <w:b/>
        </w:rPr>
        <w:t>Annex 9</w:t>
      </w:r>
      <w:r w:rsidR="00743186">
        <w:rPr>
          <w:b/>
        </w:rPr>
        <w:t>b</w:t>
      </w:r>
      <w:bookmarkStart w:id="0" w:name="_GoBack"/>
      <w:bookmarkEnd w:id="0"/>
      <w:r>
        <w:rPr>
          <w:b/>
        </w:rPr>
        <w:t>:</w:t>
      </w:r>
      <w:r w:rsidR="00B50E85">
        <w:rPr>
          <w:b/>
        </w:rPr>
        <w:t xml:space="preserve"> EADTU Regional SWOT on QA Europe</w:t>
      </w:r>
    </w:p>
    <w:p w:rsidR="00647F20" w:rsidRPr="009B6AA9" w:rsidRDefault="00770A17">
      <w:pPr>
        <w:rPr>
          <w:b/>
        </w:rPr>
      </w:pPr>
      <w:r w:rsidRPr="009B6AA9">
        <w:rPr>
          <w:rFonts w:ascii="Calibri" w:eastAsia="+mj-ea" w:hAnsi="Calibri" w:cs="+mj-cs"/>
          <w:color w:val="000000"/>
          <w:kern w:val="24"/>
          <w:sz w:val="80"/>
          <w:szCs w:val="80"/>
        </w:rPr>
        <w:t>“</w:t>
      </w:r>
      <w:r w:rsidRPr="009B6AA9">
        <w:rPr>
          <w:rFonts w:ascii="Calibri" w:eastAsia="+mj-ea" w:hAnsi="Calibri" w:cs="+mj-cs"/>
          <w:b/>
          <w:bCs/>
          <w:color w:val="000000"/>
          <w:kern w:val="24"/>
          <w:sz w:val="80"/>
          <w:szCs w:val="80"/>
        </w:rPr>
        <w:t xml:space="preserve">Regional SWOT on quality </w:t>
      </w:r>
      <w:r w:rsidRPr="009B6AA9">
        <w:rPr>
          <w:rFonts w:ascii="Calibri" w:eastAsia="+mj-ea" w:hAnsi="Calibri" w:cs="+mj-cs"/>
          <w:b/>
          <w:bCs/>
          <w:color w:val="000000"/>
          <w:kern w:val="24"/>
          <w:sz w:val="80"/>
          <w:szCs w:val="80"/>
        </w:rPr>
        <w:br/>
        <w:t>in online, open and flexible education for Europe</w:t>
      </w:r>
      <w:r w:rsidRPr="009B6AA9">
        <w:rPr>
          <w:rFonts w:ascii="Calibri" w:eastAsia="+mj-ea" w:hAnsi="Calibri" w:cs="+mj-cs"/>
          <w:color w:val="000000"/>
          <w:kern w:val="24"/>
          <w:sz w:val="80"/>
          <w:szCs w:val="80"/>
        </w:rPr>
        <w:t>”.</w:t>
      </w:r>
    </w:p>
    <w:p w:rsidR="00647F20" w:rsidRPr="009B6AA9" w:rsidRDefault="004F280C">
      <w:pPr>
        <w:rPr>
          <w:b/>
          <w:color w:val="0070C0"/>
        </w:rPr>
      </w:pPr>
      <w:r w:rsidRPr="009B6AA9">
        <w:rPr>
          <w:b/>
          <w:color w:val="0070C0"/>
        </w:rPr>
        <w:t>8</w:t>
      </w:r>
      <w:r w:rsidR="00770A17" w:rsidRPr="009B6AA9">
        <w:rPr>
          <w:b/>
          <w:color w:val="0070C0"/>
        </w:rPr>
        <w:t xml:space="preserve"> </w:t>
      </w:r>
      <w:r w:rsidRPr="009B6AA9">
        <w:rPr>
          <w:b/>
          <w:color w:val="0070C0"/>
        </w:rPr>
        <w:t>June</w:t>
      </w:r>
      <w:r w:rsidR="00770A17" w:rsidRPr="009B6AA9">
        <w:rPr>
          <w:b/>
          <w:color w:val="0070C0"/>
        </w:rPr>
        <w:t xml:space="preserve"> 2018</w:t>
      </w:r>
    </w:p>
    <w:p w:rsidR="00552BAE" w:rsidRPr="009B6AA9" w:rsidRDefault="00552BAE" w:rsidP="00770A17">
      <w:pPr>
        <w:pBdr>
          <w:bottom w:val="single" w:sz="4" w:space="1" w:color="auto"/>
        </w:pBdr>
        <w:rPr>
          <w:b/>
        </w:rPr>
      </w:pPr>
    </w:p>
    <w:p w:rsidR="00770A17" w:rsidRPr="009B6AA9" w:rsidRDefault="00552BAE">
      <w:pPr>
        <w:rPr>
          <w:b/>
          <w:color w:val="0070C0"/>
        </w:rPr>
      </w:pPr>
      <w:r w:rsidRPr="009B6AA9">
        <w:rPr>
          <w:b/>
          <w:color w:val="0070C0"/>
        </w:rPr>
        <w:t>EADTU / George Ubachs and Piet Henderikx</w:t>
      </w:r>
    </w:p>
    <w:p w:rsidR="00C477E8" w:rsidRPr="009B6AA9" w:rsidRDefault="00DE4191" w:rsidP="00C477E8">
      <w:pPr>
        <w:rPr>
          <w:b/>
        </w:rPr>
      </w:pPr>
      <w:r w:rsidRPr="009B6AA9">
        <w:rPr>
          <w:b/>
        </w:rPr>
        <w:t>European framework</w:t>
      </w:r>
    </w:p>
    <w:p w:rsidR="00B827DD" w:rsidRPr="009B6AA9" w:rsidRDefault="00B827DD" w:rsidP="00B827DD">
      <w:pPr>
        <w:jc w:val="both"/>
        <w:rPr>
          <w:rFonts w:cstheme="minorHAnsi"/>
        </w:rPr>
      </w:pPr>
      <w:r w:rsidRPr="009B6AA9">
        <w:rPr>
          <w:rFonts w:cstheme="minorHAnsi"/>
        </w:rPr>
        <w:t xml:space="preserve">In European universities three areas of provision emerge: </w:t>
      </w:r>
      <w:r w:rsidRPr="009B6AA9">
        <w:rPr>
          <w:rFonts w:cstheme="minorHAnsi"/>
          <w:i/>
        </w:rPr>
        <w:t>degree education</w:t>
      </w:r>
      <w:r w:rsidRPr="009B6AA9">
        <w:rPr>
          <w:rFonts w:cstheme="minorHAnsi"/>
        </w:rPr>
        <w:t xml:space="preserve"> as the backbone of a university; </w:t>
      </w:r>
      <w:r w:rsidRPr="009B6AA9">
        <w:rPr>
          <w:rFonts w:cstheme="minorHAnsi"/>
          <w:i/>
        </w:rPr>
        <w:t>continuing education</w:t>
      </w:r>
      <w:r w:rsidRPr="009B6AA9">
        <w:rPr>
          <w:rFonts w:cstheme="minorHAnsi"/>
        </w:rPr>
        <w:t xml:space="preserve"> and continuous professional development, which probably will exceed the number of degree students; and </w:t>
      </w:r>
      <w:r w:rsidRPr="009B6AA9">
        <w:rPr>
          <w:rFonts w:cstheme="minorHAnsi"/>
          <w:i/>
        </w:rPr>
        <w:t>open education</w:t>
      </w:r>
      <w:r w:rsidRPr="009B6AA9">
        <w:rPr>
          <w:rFonts w:cstheme="minorHAnsi"/>
        </w:rPr>
        <w:t xml:space="preserve"> which emerged mainly by the MOOC movement. Universities attempt policies and strategies to define their profile in these areas, which can be complementary to each other and to some extent interwoven (See annex 1). </w:t>
      </w:r>
    </w:p>
    <w:p w:rsidR="00B827DD" w:rsidRPr="009B6AA9" w:rsidRDefault="00B827DD" w:rsidP="00B827DD">
      <w:pPr>
        <w:tabs>
          <w:tab w:val="left" w:pos="1470"/>
        </w:tabs>
        <w:jc w:val="both"/>
      </w:pPr>
      <w:r w:rsidRPr="009B6AA9">
        <w:t>Digital modes of teaching and learning can solve problems higher education is facing today and will offer new opportunities for teaching and learning in each of these areas. They will innovate and even transform higher education provisions in the course of next years:</w:t>
      </w:r>
    </w:p>
    <w:p w:rsidR="00B827DD" w:rsidRPr="009B6AA9" w:rsidRDefault="00B827DD" w:rsidP="00B827DD">
      <w:pPr>
        <w:pStyle w:val="Lijstalinea"/>
        <w:numPr>
          <w:ilvl w:val="0"/>
          <w:numId w:val="4"/>
        </w:numPr>
        <w:tabs>
          <w:tab w:val="left" w:pos="1470"/>
        </w:tabs>
        <w:jc w:val="both"/>
      </w:pPr>
      <w:r w:rsidRPr="009B6AA9">
        <w:t xml:space="preserve">Blended degree education will raise the quality and efficiency of degree education, facing large numbers of students and lower staff/students ratios. </w:t>
      </w:r>
    </w:p>
    <w:p w:rsidR="00B827DD" w:rsidRPr="009B6AA9" w:rsidRDefault="00B827DD" w:rsidP="00B827DD">
      <w:pPr>
        <w:pStyle w:val="Lijstalinea"/>
        <w:numPr>
          <w:ilvl w:val="0"/>
          <w:numId w:val="4"/>
        </w:numPr>
        <w:tabs>
          <w:tab w:val="left" w:pos="1470"/>
        </w:tabs>
        <w:jc w:val="both"/>
      </w:pPr>
      <w:r w:rsidRPr="009B6AA9">
        <w:t xml:space="preserve">Blended and online education will upscale the area of continuing education and continuous professional development (CPD) by offering flexible courses with a large outreach responding to the needs of learners at work, who face longer careers and career shifts. </w:t>
      </w:r>
    </w:p>
    <w:p w:rsidR="00B827DD" w:rsidRPr="009B6AA9" w:rsidRDefault="00B827DD" w:rsidP="00B827DD">
      <w:pPr>
        <w:pStyle w:val="Lijstalinea"/>
        <w:numPr>
          <w:ilvl w:val="0"/>
          <w:numId w:val="4"/>
        </w:numPr>
        <w:tabs>
          <w:tab w:val="left" w:pos="1470"/>
        </w:tabs>
        <w:jc w:val="both"/>
      </w:pPr>
      <w:r w:rsidRPr="009B6AA9">
        <w:t xml:space="preserve">MOOCs are offered online only, providing massive and open learning opportunities for all, promoting engagement in the knowledge society. </w:t>
      </w:r>
    </w:p>
    <w:p w:rsidR="00B827DD" w:rsidRPr="009B6AA9" w:rsidRDefault="00B827DD" w:rsidP="00B827DD">
      <w:pPr>
        <w:tabs>
          <w:tab w:val="left" w:pos="1470"/>
        </w:tabs>
        <w:jc w:val="both"/>
      </w:pPr>
      <w:r w:rsidRPr="009B6AA9">
        <w:t xml:space="preserve">Blended and online systems are important to accelerate innovation and to keep pace with the needs of learners of all ages and of society. </w:t>
      </w:r>
    </w:p>
    <w:p w:rsidR="00B827DD" w:rsidRPr="009B6AA9" w:rsidRDefault="00B827DD" w:rsidP="00B827DD">
      <w:pPr>
        <w:tabs>
          <w:tab w:val="left" w:pos="1470"/>
        </w:tabs>
        <w:jc w:val="both"/>
      </w:pPr>
      <w:r w:rsidRPr="009B6AA9">
        <w:t xml:space="preserve">Changing times need new solutions, touching upon the structure of higher education provisions. There is a need for investment in lifelong learning in European societies, in particular in continuous education / continuous professional development. All member states need to extend their provisions. </w:t>
      </w:r>
    </w:p>
    <w:p w:rsidR="00B827DD" w:rsidRPr="009B6AA9" w:rsidRDefault="00B827DD" w:rsidP="00B827DD">
      <w:pPr>
        <w:tabs>
          <w:tab w:val="left" w:pos="1470"/>
        </w:tabs>
        <w:jc w:val="both"/>
      </w:pPr>
      <w:r w:rsidRPr="009B6AA9">
        <w:t xml:space="preserve">In the area of continuing education, the deployment of short learning programmes (SLPs) is a most important solution. The </w:t>
      </w:r>
      <w:r w:rsidRPr="009B6AA9">
        <w:rPr>
          <w:i/>
        </w:rPr>
        <w:t>online</w:t>
      </w:r>
      <w:r w:rsidRPr="009B6AA9">
        <w:t xml:space="preserve"> provision of SLP`s makes them even more scalable and flexible. They facilitate the accessibility of courses by learners and can be taken in combination with a job at all stages of life. SLPs should be awarded with appropriate qualifications (e.g. certificates, diplomas), corresponding with the European Qualification Framework. </w:t>
      </w:r>
    </w:p>
    <w:p w:rsidR="00DE4191" w:rsidRPr="009B6AA9" w:rsidRDefault="00DE4191" w:rsidP="00B827DD"/>
    <w:p w:rsidR="00B827DD" w:rsidRPr="009B6AA9" w:rsidRDefault="00B827DD" w:rsidP="00B827DD">
      <w:pPr>
        <w:rPr>
          <w:b/>
        </w:rPr>
      </w:pPr>
      <w:r w:rsidRPr="009B6AA9">
        <w:t xml:space="preserve">In the framework of ICDE’s focal point approach to quality assurance of online education,  EADTU has performed a SWOT analyses for Europe based on </w:t>
      </w:r>
      <w:r w:rsidRPr="009B6AA9">
        <w:rPr>
          <w:b/>
        </w:rPr>
        <w:t>three action lines:</w:t>
      </w:r>
    </w:p>
    <w:p w:rsidR="00B827DD" w:rsidRPr="009B6AA9" w:rsidRDefault="00B827DD" w:rsidP="00B827DD">
      <w:pPr>
        <w:numPr>
          <w:ilvl w:val="0"/>
          <w:numId w:val="6"/>
        </w:numPr>
      </w:pPr>
      <w:r w:rsidRPr="009B6AA9">
        <w:t>Survey on accreditation of QA in blended and online education</w:t>
      </w:r>
    </w:p>
    <w:p w:rsidR="00B827DD" w:rsidRPr="009B6AA9" w:rsidRDefault="00B827DD" w:rsidP="00B827DD">
      <w:pPr>
        <w:numPr>
          <w:ilvl w:val="0"/>
          <w:numId w:val="6"/>
        </w:numPr>
      </w:pPr>
      <w:r w:rsidRPr="009B6AA9">
        <w:t>EADTU-ENQA Peer Learning Activity on QA in blended and online education</w:t>
      </w:r>
    </w:p>
    <w:p w:rsidR="00B827DD" w:rsidRPr="009B6AA9" w:rsidRDefault="00B827DD" w:rsidP="00B827DD">
      <w:pPr>
        <w:numPr>
          <w:ilvl w:val="0"/>
          <w:numId w:val="6"/>
        </w:numPr>
      </w:pPr>
      <w:r w:rsidRPr="009B6AA9">
        <w:t xml:space="preserve">EADTU-ENQA PLA Questionnaire at 3 levels </w:t>
      </w:r>
    </w:p>
    <w:p w:rsidR="002F7C9F" w:rsidRPr="009B6AA9" w:rsidRDefault="002F7C9F" w:rsidP="00D36AA4">
      <w:pPr>
        <w:rPr>
          <w:b/>
        </w:rPr>
      </w:pPr>
    </w:p>
    <w:p w:rsidR="00D36AA4" w:rsidRPr="009B6AA9" w:rsidRDefault="00DE4191" w:rsidP="00D36AA4">
      <w:pPr>
        <w:rPr>
          <w:b/>
        </w:rPr>
      </w:pPr>
      <w:r w:rsidRPr="009B6AA9">
        <w:rPr>
          <w:b/>
        </w:rPr>
        <w:t>European SWOT</w:t>
      </w:r>
    </w:p>
    <w:p w:rsidR="001B6E7B" w:rsidRPr="009B6AA9" w:rsidRDefault="00055973" w:rsidP="001B6E7B">
      <w:r w:rsidRPr="009B6AA9">
        <w:t>The rationale for governments to implement quality assurance (QA) systems or processes is usually two-fold: they wish to be assured that the higher education that they fund (albeit in varying ways) is of sufficiently high quality, and they wish to ensure that it is being continuously improved, ie quality enhancement (QE). In almost all European countries, quality assurance for higher education is achieved through t</w:t>
      </w:r>
      <w:r w:rsidR="002F7C9F" w:rsidRPr="009B6AA9">
        <w:t>he establishment of agencies.</w:t>
      </w:r>
      <w:r w:rsidRPr="009B6AA9">
        <w:t xml:space="preserve"> </w:t>
      </w:r>
      <w:r w:rsidR="001B6E7B" w:rsidRPr="009B6AA9">
        <w:t xml:space="preserve">Quality assurance agencies, whose role is to assess quality in the learning and teaching business also need at least some expertise </w:t>
      </w:r>
      <w:r w:rsidR="002F7C9F" w:rsidRPr="009B6AA9">
        <w:t xml:space="preserve">in new modes of teaching by </w:t>
      </w:r>
      <w:r w:rsidR="001B6E7B" w:rsidRPr="009B6AA9">
        <w:t>online</w:t>
      </w:r>
      <w:r w:rsidR="002F7C9F" w:rsidRPr="009B6AA9">
        <w:t xml:space="preserve"> and blended</w:t>
      </w:r>
      <w:r w:rsidR="001B6E7B" w:rsidRPr="009B6AA9">
        <w:t xml:space="preserve"> education, which they might best obtain by also having such staff in-house. This was proposed by the Dutch QA agency, NVAO, at the ENQA conference in Zagreb (Flierman, 2014).</w:t>
      </w:r>
    </w:p>
    <w:p w:rsidR="00055973" w:rsidRPr="009B6AA9" w:rsidRDefault="00055973" w:rsidP="00055973">
      <w:r w:rsidRPr="009B6AA9">
        <w:t>If one of the tasks of external quality assurance agencies is to support the improvement of teaching and learning, they should also look to educational processes in universities and not just to learning outcomes. The quality of teaching and learning is also determining the quality of results. In systems, where the focus is more on institutional quality assurance, quality assurance agencies should make available to universities criteria and models for internal evaluation, also for digital modes of teaching and learning.  Hence, quality assurance agencies play a pivotal role in institutional quality assurance processes.</w:t>
      </w:r>
    </w:p>
    <w:p w:rsidR="00055973" w:rsidRPr="009B6AA9" w:rsidRDefault="00055973" w:rsidP="00055973">
      <w:r w:rsidRPr="009B6AA9">
        <w:t>Although several agencies</w:t>
      </w:r>
      <w:r w:rsidR="00DE4191" w:rsidRPr="009B6AA9">
        <w:t xml:space="preserve"> in Europe</w:t>
      </w:r>
      <w:r w:rsidRPr="009B6AA9">
        <w:t xml:space="preserve"> have set important steps in evaluating and valuing innovation and quality enhancement by digital education, there is still a way to go in other countries.  </w:t>
      </w:r>
      <w:r w:rsidR="001B6E7B" w:rsidRPr="009B6AA9">
        <w:t xml:space="preserve">Only a minority of agencies is giving criteria, indicators, guidelines or examples of good practice for improvement to institutions. </w:t>
      </w:r>
      <w:r w:rsidRPr="009B6AA9">
        <w:t xml:space="preserve">ENQA can assure that expertise and good practice are shared between agencies and that specific criteria, benchmarks, guidelines and frameworks are developed and disseminated to institutions. </w:t>
      </w:r>
    </w:p>
    <w:p w:rsidR="00055973" w:rsidRPr="009B6AA9" w:rsidRDefault="002F7C9F" w:rsidP="00055973">
      <w:r w:rsidRPr="009B6AA9">
        <w:t>Relevant c</w:t>
      </w:r>
      <w:r w:rsidR="00055973" w:rsidRPr="009B6AA9">
        <w:t xml:space="preserve">riteria, indicators or guidelines are published by agencies in Cyprus, Ireland and the United Kingdom. In the UK, learning and teaching in general, including e-learning, is covered by the Quality Code”. These guidelines are a good basis for sharing criteria and indicators for quality assurance as are also frameworks, benchmarks and criteria for quality assurance developed by international associations in the field (ICDE study, 2016; EADTU, E-xcellence, 2015 ). </w:t>
      </w:r>
    </w:p>
    <w:p w:rsidR="002F7C9F" w:rsidRPr="009B6AA9" w:rsidRDefault="00FE4DAF" w:rsidP="009D10C2">
      <w:r w:rsidRPr="009B6AA9">
        <w:t xml:space="preserve">Already, ENQA </w:t>
      </w:r>
      <w:r w:rsidR="009D10C2" w:rsidRPr="009B6AA9">
        <w:t>ha</w:t>
      </w:r>
      <w:r w:rsidRPr="009B6AA9">
        <w:t>s tak</w:t>
      </w:r>
      <w:r w:rsidR="009D10C2" w:rsidRPr="009B6AA9">
        <w:t>en</w:t>
      </w:r>
      <w:r w:rsidRPr="009B6AA9">
        <w:t xml:space="preserve"> a pro-active role in response to latest developments in online and blended education by setting up a Working Group </w:t>
      </w:r>
      <w:r w:rsidR="009D10C2" w:rsidRPr="009B6AA9">
        <w:t>on E-Learning. T</w:t>
      </w:r>
      <w:r w:rsidRPr="009B6AA9">
        <w:t xml:space="preserve">his WG </w:t>
      </w:r>
      <w:r w:rsidR="009D10C2" w:rsidRPr="009B6AA9">
        <w:t>on E-Learning is consisting of some 10 quality assurance agencies.</w:t>
      </w:r>
      <w:r w:rsidR="001B6E7B" w:rsidRPr="009B6AA9">
        <w:t xml:space="preserve"> </w:t>
      </w:r>
    </w:p>
    <w:p w:rsidR="002F7C9F" w:rsidRPr="009B6AA9" w:rsidRDefault="002F7C9F" w:rsidP="009D10C2"/>
    <w:p w:rsidR="009B6AA9" w:rsidRPr="009B6AA9" w:rsidRDefault="009B6AA9" w:rsidP="009D10C2"/>
    <w:p w:rsidR="009B6AA9" w:rsidRPr="009B6AA9" w:rsidRDefault="009B6AA9" w:rsidP="009D10C2"/>
    <w:p w:rsidR="009D10C2" w:rsidRPr="009B6AA9" w:rsidRDefault="009D10C2" w:rsidP="009D10C2">
      <w:r w:rsidRPr="009B6AA9">
        <w:t>The objectives of the ENQA WG on e-learning are:</w:t>
      </w:r>
    </w:p>
    <w:p w:rsidR="009D10C2" w:rsidRPr="009B6AA9" w:rsidRDefault="009D10C2" w:rsidP="009D10C2">
      <w:r w:rsidRPr="009B6AA9">
        <w:t>-</w:t>
      </w:r>
      <w:r w:rsidRPr="009B6AA9">
        <w:tab/>
        <w:t>Create an inventory of sources on quality assurance and e-Learning.</w:t>
      </w:r>
    </w:p>
    <w:p w:rsidR="009D10C2" w:rsidRPr="009B6AA9" w:rsidRDefault="009D10C2" w:rsidP="009D10C2">
      <w:r w:rsidRPr="009B6AA9">
        <w:t>-</w:t>
      </w:r>
      <w:r w:rsidRPr="009B6AA9">
        <w:tab/>
        <w:t>Agree on definition of e-learning.</w:t>
      </w:r>
    </w:p>
    <w:p w:rsidR="009D10C2" w:rsidRPr="009B6AA9" w:rsidRDefault="009D10C2" w:rsidP="009D10C2">
      <w:r w:rsidRPr="009B6AA9">
        <w:t>-</w:t>
      </w:r>
      <w:r w:rsidRPr="009B6AA9">
        <w:tab/>
        <w:t>Agree on recommendations (QAA and HEIs).</w:t>
      </w:r>
    </w:p>
    <w:p w:rsidR="002F7C9F" w:rsidRPr="009B6AA9" w:rsidRDefault="009D10C2" w:rsidP="00255C41">
      <w:r w:rsidRPr="009B6AA9">
        <w:t xml:space="preserve">Based on EADTU’s study on accreditation of online education and </w:t>
      </w:r>
      <w:r w:rsidR="00441D9D" w:rsidRPr="009B6AA9">
        <w:t xml:space="preserve">recent </w:t>
      </w:r>
      <w:r w:rsidRPr="009B6AA9">
        <w:t>cooperation with ENQA in the SEQUENT project (</w:t>
      </w:r>
      <w:hyperlink r:id="rId7" w:history="1">
        <w:r w:rsidRPr="009B6AA9">
          <w:rPr>
            <w:rStyle w:val="Hyperlink"/>
          </w:rPr>
          <w:t>https://www.sequent-network.eu/</w:t>
        </w:r>
      </w:hyperlink>
      <w:r w:rsidR="001B6E7B" w:rsidRPr="009B6AA9">
        <w:t xml:space="preserve">), </w:t>
      </w:r>
      <w:r w:rsidRPr="009B6AA9">
        <w:t>both</w:t>
      </w:r>
      <w:r w:rsidR="001B6E7B" w:rsidRPr="009B6AA9">
        <w:t xml:space="preserve"> organisations</w:t>
      </w:r>
      <w:r w:rsidRPr="009B6AA9">
        <w:t xml:space="preserve"> decided on organising the E</w:t>
      </w:r>
      <w:r w:rsidR="000C2574" w:rsidRPr="009B6AA9">
        <w:t>A</w:t>
      </w:r>
      <w:r w:rsidRPr="009B6AA9">
        <w:t>DTU-ENQA Peer Learning Activity on blended and online education for September 2017.</w:t>
      </w:r>
      <w:r w:rsidR="001B6E7B" w:rsidRPr="009B6AA9">
        <w:t xml:space="preserve"> </w:t>
      </w:r>
    </w:p>
    <w:p w:rsidR="009D10C2" w:rsidRPr="009B6AA9" w:rsidRDefault="001B6E7B" w:rsidP="00255C41">
      <w:r w:rsidRPr="009B6AA9">
        <w:t xml:space="preserve">This forms the basis for a structured dialogue between stakeholders; </w:t>
      </w:r>
      <w:r w:rsidR="002F7C9F" w:rsidRPr="009B6AA9">
        <w:t>EADTU (</w:t>
      </w:r>
      <w:r w:rsidRPr="009B6AA9">
        <w:t>HE institutions</w:t>
      </w:r>
      <w:r w:rsidR="002F7C9F" w:rsidRPr="009B6AA9">
        <w:t>)</w:t>
      </w:r>
      <w:r w:rsidRPr="009B6AA9">
        <w:t>,</w:t>
      </w:r>
      <w:r w:rsidR="002F7C9F" w:rsidRPr="009B6AA9">
        <w:t xml:space="preserve"> ENQA (</w:t>
      </w:r>
      <w:r w:rsidRPr="009B6AA9">
        <w:t>QA agencies</w:t>
      </w:r>
      <w:r w:rsidR="002F7C9F" w:rsidRPr="009B6AA9">
        <w:t>)</w:t>
      </w:r>
      <w:r w:rsidRPr="009B6AA9">
        <w:t xml:space="preserve"> and governments. </w:t>
      </w:r>
    </w:p>
    <w:p w:rsidR="002F7C9F" w:rsidRPr="002F7C9F" w:rsidRDefault="009B6AA9" w:rsidP="002F7C9F">
      <w:pPr>
        <w:autoSpaceDE w:val="0"/>
        <w:autoSpaceDN w:val="0"/>
        <w:adjustRightInd w:val="0"/>
        <w:spacing w:after="0" w:line="240" w:lineRule="auto"/>
      </w:pPr>
      <w:r>
        <w:t>Interesting is</w:t>
      </w:r>
      <w:r w:rsidR="002F7C9F" w:rsidRPr="002F7C9F">
        <w:t xml:space="preserve"> Esther Huertas Hidalgo (Chair ENQA WG E-Learning) </w:t>
      </w:r>
      <w:r>
        <w:t xml:space="preserve">view </w:t>
      </w:r>
      <w:r w:rsidR="002F7C9F" w:rsidRPr="002F7C9F">
        <w:t xml:space="preserve">on how to include ways forward in the European Standards and Guidelines (ESG, 2015), in particular with respect to the role of agencies in quality assurance for blended and online / distance programmes. Main challenge is to share the understanding on quality assurance for new modes of teaching and learning by higher education institutions (HEI) and professionals/teaching staff within institutions. Also, how can the agencies get the message across in line with the role of agencies. In the logic of the European Standards and Guidelines, the applicability of standards has to be examined and how indicators can be fine-tuned, taking into account challenges from HEIs, government and quality assurance agencies. </w:t>
      </w:r>
    </w:p>
    <w:p w:rsidR="002F7C9F" w:rsidRPr="002F7C9F" w:rsidRDefault="002F7C9F" w:rsidP="002F7C9F">
      <w:pPr>
        <w:autoSpaceDE w:val="0"/>
        <w:autoSpaceDN w:val="0"/>
        <w:adjustRightInd w:val="0"/>
        <w:spacing w:after="0" w:line="240" w:lineRule="auto"/>
      </w:pPr>
      <w:r w:rsidRPr="002F7C9F">
        <w:t xml:space="preserve">The ENQA working group now aims at providing a generic framework and a common basis for national and institutional activities by those standards and guidelines for quality assurance (ESG). They should be applied to all higher education offered in the EHEA regardless of the mode of study or place of delivery (transnational education, e-learning, short courses…). Blended and online learning provisions fulfil the same standards (ESG) as traditional ones. </w:t>
      </w:r>
    </w:p>
    <w:p w:rsidR="002F7C9F" w:rsidRPr="009B6AA9" w:rsidRDefault="002F7C9F" w:rsidP="002F7C9F">
      <w:r w:rsidRPr="009B6AA9">
        <w:t>Thus, all types of e-learning are included as well as all phases in the learning process (e.g. e-assessment). It applies to all types of quality assurance activities, agencies (quality audits, program accreditation, institutional assessment...) and quality assurance purposes (enhancement/improvement, accountability).</w:t>
      </w:r>
    </w:p>
    <w:p w:rsidR="005E5D13" w:rsidRPr="009B6AA9" w:rsidRDefault="00DE4191" w:rsidP="008B7276">
      <w:r w:rsidRPr="009B6AA9">
        <w:t>From the peer learning activity, including all 3 stakeholder organisations we have identified the following main SWOT elements for Europe</w:t>
      </w:r>
      <w:r w:rsidR="009B6AA9" w:rsidRPr="009B6AA9">
        <w:t>an introduction and quality assurance of online and blended education</w:t>
      </w:r>
      <w:r w:rsidR="002F7C9F" w:rsidRPr="009B6AA9">
        <w:t>.</w:t>
      </w:r>
      <w:r w:rsidRPr="009B6AA9">
        <w:t xml:space="preserve"> </w:t>
      </w:r>
    </w:p>
    <w:p w:rsidR="00DE4191" w:rsidRPr="009B6AA9" w:rsidRDefault="00DE4191" w:rsidP="008B7276"/>
    <w:p w:rsidR="002F7C9F" w:rsidRPr="009B6AA9" w:rsidRDefault="002F7C9F" w:rsidP="00DE4191">
      <w:pPr>
        <w:rPr>
          <w:b/>
        </w:rPr>
      </w:pPr>
    </w:p>
    <w:p w:rsidR="002F7C9F" w:rsidRPr="009B6AA9" w:rsidRDefault="002F7C9F" w:rsidP="00DE4191">
      <w:pPr>
        <w:rPr>
          <w:b/>
        </w:rPr>
      </w:pPr>
    </w:p>
    <w:p w:rsidR="002F7C9F" w:rsidRPr="009B6AA9" w:rsidRDefault="002F7C9F" w:rsidP="00DE4191">
      <w:pPr>
        <w:rPr>
          <w:b/>
        </w:rPr>
      </w:pPr>
    </w:p>
    <w:p w:rsidR="002F7C9F" w:rsidRPr="009B6AA9" w:rsidRDefault="002F7C9F" w:rsidP="00DE4191">
      <w:pPr>
        <w:rPr>
          <w:b/>
        </w:rPr>
      </w:pPr>
    </w:p>
    <w:p w:rsidR="002F7C9F" w:rsidRPr="009B6AA9" w:rsidRDefault="002F7C9F" w:rsidP="00DE4191">
      <w:pPr>
        <w:rPr>
          <w:b/>
        </w:rPr>
      </w:pPr>
    </w:p>
    <w:p w:rsidR="002F7C9F" w:rsidRPr="009B6AA9" w:rsidRDefault="002F7C9F" w:rsidP="00DE4191">
      <w:pPr>
        <w:rPr>
          <w:b/>
        </w:rPr>
      </w:pPr>
    </w:p>
    <w:tbl>
      <w:tblPr>
        <w:tblW w:w="9300" w:type="dxa"/>
        <w:tblCellMar>
          <w:left w:w="0" w:type="dxa"/>
          <w:right w:w="0" w:type="dxa"/>
        </w:tblCellMar>
        <w:tblLook w:val="0420" w:firstRow="1" w:lastRow="0" w:firstColumn="0" w:lastColumn="0" w:noHBand="0" w:noVBand="1"/>
      </w:tblPr>
      <w:tblGrid>
        <w:gridCol w:w="752"/>
        <w:gridCol w:w="4282"/>
        <w:gridCol w:w="4266"/>
      </w:tblGrid>
      <w:tr w:rsidR="00DE4191" w:rsidRPr="009B6AA9" w:rsidTr="009B6AA9">
        <w:trPr>
          <w:trHeight w:val="520"/>
        </w:trPr>
        <w:tc>
          <w:tcPr>
            <w:tcW w:w="752" w:type="dxa"/>
            <w:tcBorders>
              <w:top w:val="nil"/>
              <w:left w:val="nil"/>
              <w:bottom w:val="nil"/>
              <w:right w:val="nil"/>
            </w:tcBorders>
            <w:shd w:val="clear" w:color="auto" w:fill="E0E0E0"/>
            <w:tcMar>
              <w:top w:w="72" w:type="dxa"/>
              <w:left w:w="144" w:type="dxa"/>
              <w:bottom w:w="72" w:type="dxa"/>
              <w:right w:w="144" w:type="dxa"/>
            </w:tcMar>
            <w:vAlign w:val="center"/>
            <w:hideMark/>
          </w:tcPr>
          <w:p w:rsidR="00DE4191" w:rsidRPr="009B6AA9" w:rsidRDefault="00DE4191" w:rsidP="00D7441B"/>
        </w:tc>
        <w:tc>
          <w:tcPr>
            <w:tcW w:w="4282" w:type="dxa"/>
            <w:tcBorders>
              <w:top w:val="nil"/>
              <w:left w:val="nil"/>
              <w:bottom w:val="single" w:sz="8" w:space="0" w:color="A6A6A6"/>
              <w:right w:val="nil"/>
            </w:tcBorders>
            <w:shd w:val="clear" w:color="auto" w:fill="E0E0E0"/>
            <w:tcMar>
              <w:top w:w="72" w:type="dxa"/>
              <w:left w:w="144" w:type="dxa"/>
              <w:bottom w:w="72" w:type="dxa"/>
              <w:right w:w="144" w:type="dxa"/>
            </w:tcMar>
            <w:vAlign w:val="center"/>
            <w:hideMark/>
          </w:tcPr>
          <w:p w:rsidR="00DE4191" w:rsidRPr="009B6AA9" w:rsidRDefault="00DE4191" w:rsidP="00D7441B">
            <w:r w:rsidRPr="009B6AA9">
              <w:rPr>
                <w:b/>
                <w:bCs/>
              </w:rPr>
              <w:t>POSITIVE</w:t>
            </w:r>
          </w:p>
        </w:tc>
        <w:tc>
          <w:tcPr>
            <w:tcW w:w="4266" w:type="dxa"/>
            <w:tcBorders>
              <w:top w:val="nil"/>
              <w:left w:val="nil"/>
              <w:bottom w:val="single" w:sz="8" w:space="0" w:color="A6A6A6"/>
              <w:right w:val="nil"/>
            </w:tcBorders>
            <w:shd w:val="clear" w:color="auto" w:fill="E0E0E0"/>
            <w:tcMar>
              <w:top w:w="72" w:type="dxa"/>
              <w:left w:w="144" w:type="dxa"/>
              <w:bottom w:w="72" w:type="dxa"/>
              <w:right w:w="144" w:type="dxa"/>
            </w:tcMar>
            <w:vAlign w:val="center"/>
            <w:hideMark/>
          </w:tcPr>
          <w:p w:rsidR="00DE4191" w:rsidRPr="009B6AA9" w:rsidRDefault="00DE4191" w:rsidP="00D7441B">
            <w:r w:rsidRPr="009B6AA9">
              <w:rPr>
                <w:b/>
                <w:bCs/>
              </w:rPr>
              <w:t>NEGATIVE</w:t>
            </w:r>
          </w:p>
        </w:tc>
      </w:tr>
      <w:tr w:rsidR="00DE4191" w:rsidRPr="009B6AA9" w:rsidTr="009B6AA9">
        <w:trPr>
          <w:trHeight w:val="584"/>
        </w:trPr>
        <w:tc>
          <w:tcPr>
            <w:tcW w:w="752" w:type="dxa"/>
            <w:tcBorders>
              <w:top w:val="nil"/>
              <w:left w:val="nil"/>
              <w:bottom w:val="nil"/>
              <w:right w:val="single" w:sz="8" w:space="0" w:color="A6A6A6"/>
            </w:tcBorders>
            <w:shd w:val="clear" w:color="auto" w:fill="E0E0E0"/>
            <w:tcMar>
              <w:top w:w="72" w:type="dxa"/>
              <w:left w:w="144" w:type="dxa"/>
              <w:bottom w:w="72" w:type="dxa"/>
              <w:right w:w="144" w:type="dxa"/>
            </w:tcMar>
            <w:vAlign w:val="center"/>
            <w:hideMark/>
          </w:tcPr>
          <w:p w:rsidR="00DE4191" w:rsidRPr="009B6AA9" w:rsidRDefault="00DE4191" w:rsidP="00D7441B"/>
        </w:tc>
        <w:tc>
          <w:tcPr>
            <w:tcW w:w="4282" w:type="dxa"/>
            <w:tcBorders>
              <w:top w:val="single" w:sz="8" w:space="0" w:color="A6A6A6"/>
              <w:left w:val="single" w:sz="8" w:space="0" w:color="A6A6A6"/>
              <w:bottom w:val="single" w:sz="8" w:space="0" w:color="A6A6A6"/>
              <w:right w:val="single" w:sz="8" w:space="0" w:color="A6A6A6"/>
            </w:tcBorders>
            <w:shd w:val="clear" w:color="auto" w:fill="009933"/>
            <w:tcMar>
              <w:top w:w="72" w:type="dxa"/>
              <w:left w:w="144" w:type="dxa"/>
              <w:bottom w:w="72" w:type="dxa"/>
              <w:right w:w="144" w:type="dxa"/>
            </w:tcMar>
            <w:vAlign w:val="center"/>
            <w:hideMark/>
          </w:tcPr>
          <w:p w:rsidR="00DE4191" w:rsidRPr="009B6AA9" w:rsidRDefault="00DE4191" w:rsidP="00D7441B">
            <w:r w:rsidRPr="009B6AA9">
              <w:rPr>
                <w:b/>
                <w:bCs/>
              </w:rPr>
              <w:t>STRENGTHS</w:t>
            </w:r>
          </w:p>
        </w:tc>
        <w:tc>
          <w:tcPr>
            <w:tcW w:w="4266" w:type="dxa"/>
            <w:tcBorders>
              <w:top w:val="single" w:sz="8" w:space="0" w:color="A6A6A6"/>
              <w:left w:val="single" w:sz="8" w:space="0" w:color="A6A6A6"/>
              <w:bottom w:val="single" w:sz="8" w:space="0" w:color="A6A6A6"/>
              <w:right w:val="single" w:sz="8" w:space="0" w:color="A6A6A6"/>
            </w:tcBorders>
            <w:shd w:val="clear" w:color="auto" w:fill="FF9600"/>
            <w:tcMar>
              <w:top w:w="72" w:type="dxa"/>
              <w:left w:w="144" w:type="dxa"/>
              <w:bottom w:w="72" w:type="dxa"/>
              <w:right w:w="144" w:type="dxa"/>
            </w:tcMar>
            <w:vAlign w:val="center"/>
            <w:hideMark/>
          </w:tcPr>
          <w:p w:rsidR="00DE4191" w:rsidRPr="009B6AA9" w:rsidRDefault="00DE4191" w:rsidP="00D7441B">
            <w:r w:rsidRPr="009B6AA9">
              <w:rPr>
                <w:b/>
                <w:bCs/>
              </w:rPr>
              <w:t>WEAKNESSES</w:t>
            </w:r>
          </w:p>
        </w:tc>
      </w:tr>
      <w:tr w:rsidR="00DE4191" w:rsidRPr="009B6AA9" w:rsidTr="009B6AA9">
        <w:trPr>
          <w:trHeight w:val="3005"/>
        </w:trPr>
        <w:tc>
          <w:tcPr>
            <w:tcW w:w="752" w:type="dxa"/>
            <w:tcBorders>
              <w:top w:val="nil"/>
              <w:left w:val="nil"/>
              <w:bottom w:val="nil"/>
              <w:right w:val="single" w:sz="8" w:space="0" w:color="A6A6A6"/>
            </w:tcBorders>
            <w:shd w:val="clear" w:color="auto" w:fill="E0E0E0"/>
            <w:tcMar>
              <w:top w:w="72" w:type="dxa"/>
              <w:left w:w="144" w:type="dxa"/>
              <w:bottom w:w="72" w:type="dxa"/>
              <w:right w:w="144" w:type="dxa"/>
            </w:tcMar>
            <w:textDirection w:val="btLr"/>
            <w:vAlign w:val="center"/>
            <w:hideMark/>
          </w:tcPr>
          <w:p w:rsidR="00DE4191" w:rsidRPr="009B6AA9" w:rsidRDefault="00DE4191" w:rsidP="00D7441B">
            <w:r w:rsidRPr="009B6AA9">
              <w:rPr>
                <w:b/>
                <w:bCs/>
              </w:rPr>
              <w:t>INTERNAL</w:t>
            </w:r>
          </w:p>
        </w:tc>
        <w:tc>
          <w:tcPr>
            <w:tcW w:w="4282" w:type="dxa"/>
            <w:tcBorders>
              <w:top w:val="single" w:sz="8" w:space="0" w:color="A6A6A6"/>
              <w:left w:val="single" w:sz="8" w:space="0" w:color="A6A6A6"/>
              <w:bottom w:val="single" w:sz="8" w:space="0" w:color="A6A6A6"/>
              <w:right w:val="single" w:sz="8" w:space="0" w:color="A6A6A6"/>
            </w:tcBorders>
            <w:shd w:val="clear" w:color="auto" w:fill="auto"/>
            <w:tcMar>
              <w:top w:w="72" w:type="dxa"/>
              <w:left w:w="144" w:type="dxa"/>
              <w:bottom w:w="72" w:type="dxa"/>
              <w:right w:w="144" w:type="dxa"/>
            </w:tcMar>
            <w:hideMark/>
          </w:tcPr>
          <w:p w:rsidR="00DE4191" w:rsidRPr="009B6AA9" w:rsidRDefault="00DE4191" w:rsidP="00D7441B">
            <w:pPr>
              <w:rPr>
                <w:b/>
              </w:rPr>
            </w:pPr>
            <w:r w:rsidRPr="009B6AA9">
              <w:rPr>
                <w:b/>
              </w:rPr>
              <w:t>At the university level:</w:t>
            </w:r>
          </w:p>
          <w:p w:rsidR="00DE4191" w:rsidRPr="009B6AA9" w:rsidRDefault="00DE4191" w:rsidP="00D7441B">
            <w:r w:rsidRPr="009B6AA9">
              <w:t>The strong presence of learning environments/digital technology at European universities;</w:t>
            </w:r>
          </w:p>
          <w:p w:rsidR="00DE4191" w:rsidRPr="009B6AA9" w:rsidRDefault="00DE4191" w:rsidP="00D7441B">
            <w:r w:rsidRPr="009B6AA9">
              <w:t>Good practices in blended teaching and learning, although in many universities dispersed; incremental implementation;</w:t>
            </w:r>
          </w:p>
          <w:p w:rsidR="00DE4191" w:rsidRPr="009B6AA9" w:rsidRDefault="00DE4191" w:rsidP="00D7441B">
            <w:r w:rsidRPr="009B6AA9">
              <w:t>The MOOC movement has resulted in broader awareness and acceptance of the added value of blended and online education</w:t>
            </w:r>
          </w:p>
          <w:p w:rsidR="00DE4191" w:rsidRPr="009B6AA9" w:rsidRDefault="00DE4191" w:rsidP="00D7441B">
            <w:r w:rsidRPr="009B6AA9">
              <w:t>Strong digital skills of students and teachers</w:t>
            </w:r>
          </w:p>
          <w:p w:rsidR="00DE4191" w:rsidRPr="009B6AA9" w:rsidRDefault="00DE4191" w:rsidP="00D7441B">
            <w:r w:rsidRPr="009B6AA9">
              <w:t>A strong leadership in frontrunner universities, developing blended mainstream education, online continuous education/CPD and open education/MOOCs</w:t>
            </w:r>
          </w:p>
          <w:p w:rsidR="00DE4191" w:rsidRPr="009B6AA9" w:rsidRDefault="00DE4191" w:rsidP="00D7441B">
            <w:r w:rsidRPr="009B6AA9">
              <w:t>There is an objective strong need for enhancing the quality of education for large student numbers in mainstream education at a reasonable cost (Daniel’s iron triangle). Blended and online can extend the classroom as well as create smaller learning communities</w:t>
            </w:r>
          </w:p>
          <w:p w:rsidR="00DE4191" w:rsidRPr="009B6AA9" w:rsidRDefault="00DE4191" w:rsidP="00D7441B"/>
          <w:p w:rsidR="00DE4191" w:rsidRPr="009B6AA9" w:rsidRDefault="00DE4191" w:rsidP="00D7441B">
            <w:pPr>
              <w:rPr>
                <w:b/>
              </w:rPr>
            </w:pPr>
          </w:p>
          <w:p w:rsidR="00DE4191" w:rsidRPr="009B6AA9" w:rsidRDefault="00DE4191" w:rsidP="00D7441B">
            <w:pPr>
              <w:rPr>
                <w:b/>
              </w:rPr>
            </w:pPr>
          </w:p>
          <w:p w:rsidR="00DE4191" w:rsidRPr="009B6AA9" w:rsidRDefault="00DE4191" w:rsidP="00D7441B">
            <w:pPr>
              <w:rPr>
                <w:b/>
              </w:rPr>
            </w:pPr>
          </w:p>
          <w:p w:rsidR="00DE4191" w:rsidRPr="009B6AA9" w:rsidRDefault="00DE4191" w:rsidP="00D7441B">
            <w:pPr>
              <w:rPr>
                <w:b/>
              </w:rPr>
            </w:pPr>
          </w:p>
          <w:p w:rsidR="00DE4191" w:rsidRPr="009B6AA9" w:rsidRDefault="00DE4191" w:rsidP="00D7441B">
            <w:pPr>
              <w:rPr>
                <w:b/>
              </w:rPr>
            </w:pPr>
          </w:p>
          <w:p w:rsidR="00DE4191" w:rsidRPr="009B6AA9" w:rsidRDefault="00DE4191" w:rsidP="00D7441B">
            <w:pPr>
              <w:rPr>
                <w:b/>
              </w:rPr>
            </w:pPr>
          </w:p>
          <w:p w:rsidR="00DE4191" w:rsidRPr="009B6AA9" w:rsidRDefault="00DE4191" w:rsidP="00D7441B">
            <w:pPr>
              <w:rPr>
                <w:b/>
              </w:rPr>
            </w:pPr>
          </w:p>
          <w:p w:rsidR="00DE4191" w:rsidRPr="009B6AA9" w:rsidRDefault="00DE4191" w:rsidP="00D7441B">
            <w:pPr>
              <w:rPr>
                <w:b/>
              </w:rPr>
            </w:pPr>
          </w:p>
          <w:p w:rsidR="00DE4191" w:rsidRPr="009B6AA9" w:rsidRDefault="00DE4191" w:rsidP="00D7441B">
            <w:pPr>
              <w:rPr>
                <w:b/>
              </w:rPr>
            </w:pPr>
            <w:r w:rsidRPr="009B6AA9">
              <w:rPr>
                <w:b/>
              </w:rPr>
              <w:lastRenderedPageBreak/>
              <w:t>At Quality Assurance agency level:</w:t>
            </w:r>
          </w:p>
          <w:p w:rsidR="00DE4191" w:rsidRPr="009B6AA9" w:rsidRDefault="00DE4191" w:rsidP="00D7441B">
            <w:r w:rsidRPr="009B6AA9">
              <w:t xml:space="preserve">The national quality assurance agencies in the ENQA network represent a wide range of expertise in quality assurance (institutional, program level) </w:t>
            </w:r>
          </w:p>
          <w:p w:rsidR="00DE4191" w:rsidRPr="009B6AA9" w:rsidRDefault="00DE4191" w:rsidP="00D7441B">
            <w:r w:rsidRPr="009B6AA9">
              <w:t>As blended and online education are gradually developed in most European universities, institutional quality assurance services will be involved in evaluation reviews in these areas</w:t>
            </w:r>
          </w:p>
          <w:p w:rsidR="00DE4191" w:rsidRPr="009B6AA9" w:rsidRDefault="00DE4191" w:rsidP="00D7441B">
            <w:r w:rsidRPr="009B6AA9">
              <w:t>The widely referred Standards and Guidelines for Quality Assurance can be a perfect framework for adopting fit criteria and indicators for quality assurance in blended and online education</w:t>
            </w:r>
          </w:p>
          <w:p w:rsidR="00DE4191" w:rsidRPr="009B6AA9" w:rsidRDefault="00DE4191" w:rsidP="00D7441B">
            <w:r w:rsidRPr="009B6AA9">
              <w:t xml:space="preserve">Within this framework, national Quality Assurance Agencies adopt quality assurance guidelines and inform institutions about criteria, indicators, guidelines  on blended and online education. </w:t>
            </w:r>
            <w:r w:rsidR="009B6AA9" w:rsidRPr="009B6AA9">
              <w:t>Institutional</w:t>
            </w:r>
            <w:r w:rsidRPr="009B6AA9">
              <w:t xml:space="preserve"> systems further support the quality of online and blended education. </w:t>
            </w:r>
          </w:p>
          <w:p w:rsidR="00DE4191" w:rsidRPr="009B6AA9" w:rsidRDefault="00DE4191" w:rsidP="00D7441B">
            <w:r w:rsidRPr="009B6AA9">
              <w:t>ENQA provides the opportunity to exchange expertise in blended and online education</w:t>
            </w:r>
          </w:p>
          <w:p w:rsidR="00DE4191" w:rsidRPr="009B6AA9" w:rsidRDefault="00DE4191" w:rsidP="00D7441B">
            <w:r w:rsidRPr="009B6AA9">
              <w:t>Several QA agencies are already active in ENQA’s WG E-Learning</w:t>
            </w:r>
          </w:p>
          <w:p w:rsidR="00DE4191" w:rsidRPr="009B6AA9" w:rsidRDefault="00DE4191" w:rsidP="00D7441B">
            <w:r w:rsidRPr="009B6AA9">
              <w:t>Some national agencies have elaborated systematically criteria and indicators for quality assurance in blended and online education (UK, Cyprus, Portugal,..)</w:t>
            </w:r>
          </w:p>
          <w:p w:rsidR="00DE4191" w:rsidRPr="009B6AA9" w:rsidRDefault="00DE4191" w:rsidP="00D7441B">
            <w:r w:rsidRPr="009B6AA9">
              <w:t>The E-xcellence Manual and benchmarking instruments are widely used in insitutional qa and by enqa members (open license)</w:t>
            </w:r>
          </w:p>
          <w:p w:rsidR="00DE4191" w:rsidRPr="009B6AA9" w:rsidRDefault="00DE4191" w:rsidP="00D7441B">
            <w:r w:rsidRPr="009B6AA9">
              <w:t xml:space="preserve">ENQA can facilitate the sharing of good practice between its members to improve quality criteria, indicators and guidelines; This will also continuously improve quality assurance practices at the university level.  </w:t>
            </w:r>
          </w:p>
          <w:p w:rsidR="00DE4191" w:rsidRPr="009B6AA9" w:rsidRDefault="00DE4191" w:rsidP="00D7441B">
            <w:r w:rsidRPr="009B6AA9">
              <w:t xml:space="preserve">From this perspective of continuous improvement,  it would be necessary to stay </w:t>
            </w:r>
            <w:r w:rsidRPr="009B6AA9">
              <w:lastRenderedPageBreak/>
              <w:t>up-to-date with the current discussion in the field and to establish ways of permanent exchange of experience and expertise, e.g. workshops with institutions, ENQA members, expert organisations  and stakeholders.</w:t>
            </w:r>
          </w:p>
          <w:p w:rsidR="00DE4191" w:rsidRPr="009B6AA9" w:rsidRDefault="00DE4191" w:rsidP="009B6AA9">
            <w:r w:rsidRPr="009B6AA9">
              <w:t>The EADTU-ENQA Peer Learning Activity on QA in blended and online education (Sept. 2017) has led to a structured dialogue of stakeholders</w:t>
            </w:r>
            <w:r w:rsidR="009B6AA9" w:rsidRPr="009B6AA9">
              <w:t>.</w:t>
            </w:r>
          </w:p>
        </w:tc>
        <w:tc>
          <w:tcPr>
            <w:tcW w:w="4266" w:type="dxa"/>
            <w:tcBorders>
              <w:top w:val="single" w:sz="8" w:space="0" w:color="A6A6A6"/>
              <w:left w:val="single" w:sz="8" w:space="0" w:color="A6A6A6"/>
              <w:bottom w:val="single" w:sz="8" w:space="0" w:color="A6A6A6"/>
              <w:right w:val="single" w:sz="8" w:space="0" w:color="A6A6A6"/>
            </w:tcBorders>
            <w:shd w:val="clear" w:color="auto" w:fill="auto"/>
            <w:tcMar>
              <w:top w:w="72" w:type="dxa"/>
              <w:left w:w="144" w:type="dxa"/>
              <w:bottom w:w="72" w:type="dxa"/>
              <w:right w:w="144" w:type="dxa"/>
            </w:tcMar>
            <w:hideMark/>
          </w:tcPr>
          <w:p w:rsidR="00DE4191" w:rsidRPr="009B6AA9" w:rsidRDefault="00DE4191" w:rsidP="00D7441B">
            <w:pPr>
              <w:rPr>
                <w:b/>
              </w:rPr>
            </w:pPr>
            <w:r w:rsidRPr="009B6AA9">
              <w:rPr>
                <w:b/>
              </w:rPr>
              <w:lastRenderedPageBreak/>
              <w:t>At the university level:</w:t>
            </w:r>
          </w:p>
          <w:p w:rsidR="00DE4191" w:rsidRPr="009B6AA9" w:rsidRDefault="00DE4191" w:rsidP="00D7441B">
            <w:r w:rsidRPr="009B6AA9">
              <w:t>In many universities, the leadership still doesn’t develop innovative policies, strategic plans, frameworks for innovation  in teaching and learning</w:t>
            </w:r>
          </w:p>
          <w:p w:rsidR="00DE4191" w:rsidRPr="009B6AA9" w:rsidRDefault="00DE4191" w:rsidP="00D7441B">
            <w:r w:rsidRPr="009B6AA9">
              <w:t xml:space="preserve">Blended and online teaching and learning is developed </w:t>
            </w:r>
            <w:r w:rsidR="009B6AA9" w:rsidRPr="009B6AA9">
              <w:t>incrementally</w:t>
            </w:r>
            <w:r w:rsidRPr="009B6AA9">
              <w:t>,  not systematically Often the use of ICT-based modes of teaching and learning and innovation is only based on the commitment of individuals</w:t>
            </w:r>
          </w:p>
          <w:p w:rsidR="00DE4191" w:rsidRPr="009B6AA9" w:rsidRDefault="00DE4191" w:rsidP="00D7441B">
            <w:r w:rsidRPr="009B6AA9">
              <w:t>Some institutions are engaged, but developments are going slow and efforts are dispersed and not systemic enough.</w:t>
            </w:r>
          </w:p>
          <w:p w:rsidR="00DE4191" w:rsidRPr="009B6AA9" w:rsidRDefault="00DE4191" w:rsidP="00D7441B">
            <w:r w:rsidRPr="009B6AA9">
              <w:t>Inertia in academia to innovate.  Academic culture not in favour of innovation. Attitudes of students and staff towards online learning</w:t>
            </w:r>
          </w:p>
          <w:p w:rsidR="00DE4191" w:rsidRPr="009B6AA9" w:rsidRDefault="00DE4191" w:rsidP="00D7441B">
            <w:r w:rsidRPr="009B6AA9">
              <w:t>Misconceptions on blended/online teaching</w:t>
            </w:r>
          </w:p>
          <w:p w:rsidR="00DE4191" w:rsidRPr="009B6AA9" w:rsidRDefault="00DE4191" w:rsidP="00D7441B">
            <w:r w:rsidRPr="009B6AA9">
              <w:t xml:space="preserve">Low awareness of innovative pedagogies; </w:t>
            </w:r>
          </w:p>
          <w:p w:rsidR="00DE4191" w:rsidRPr="009B6AA9" w:rsidRDefault="00DE4191" w:rsidP="00D7441B">
            <w:r w:rsidRPr="009B6AA9">
              <w:t>Institutional expertise on the design of blended and online teaching and learning not well developed</w:t>
            </w:r>
          </w:p>
          <w:p w:rsidR="00DE4191" w:rsidRPr="009B6AA9" w:rsidRDefault="00DE4191" w:rsidP="00D7441B">
            <w:r w:rsidRPr="009B6AA9">
              <w:t xml:space="preserve">Blended and online learning competencies of staff not enough developed </w:t>
            </w:r>
          </w:p>
          <w:p w:rsidR="00DE4191" w:rsidRPr="009B6AA9" w:rsidRDefault="00DE4191" w:rsidP="00D7441B">
            <w:r w:rsidRPr="009B6AA9">
              <w:t>Institutional educational support frameworks not well developed</w:t>
            </w:r>
          </w:p>
          <w:p w:rsidR="00DE4191" w:rsidRPr="009B6AA9" w:rsidRDefault="00DE4191" w:rsidP="00D7441B">
            <w:r w:rsidRPr="009B6AA9">
              <w:t xml:space="preserve">Institutional quality framework didn’t enough adopt criteria and indicators for blended and online education and innovation </w:t>
            </w:r>
          </w:p>
          <w:p w:rsidR="00DE4191" w:rsidRPr="009B6AA9" w:rsidRDefault="00DE4191" w:rsidP="00D7441B">
            <w:r w:rsidRPr="009B6AA9">
              <w:t>No adequate solutions for the changing roles and related workload of staff</w:t>
            </w:r>
          </w:p>
          <w:p w:rsidR="00DE4191" w:rsidRPr="009B6AA9" w:rsidRDefault="00DE4191" w:rsidP="00D7441B">
            <w:r w:rsidRPr="009B6AA9">
              <w:t xml:space="preserve">No clear incentives for career development; </w:t>
            </w:r>
          </w:p>
          <w:p w:rsidR="00DE4191" w:rsidRPr="009B6AA9" w:rsidRDefault="00DE4191" w:rsidP="00D7441B">
            <w:pPr>
              <w:rPr>
                <w:b/>
              </w:rPr>
            </w:pPr>
            <w:r w:rsidRPr="009B6AA9">
              <w:rPr>
                <w:b/>
              </w:rPr>
              <w:lastRenderedPageBreak/>
              <w:t>At Quality Assurance agency level:</w:t>
            </w:r>
          </w:p>
          <w:p w:rsidR="00DE4191" w:rsidRPr="009B6AA9" w:rsidRDefault="00DE4191" w:rsidP="00D7441B">
            <w:r w:rsidRPr="009B6AA9">
              <w:t>Criteria, indicators and guidelines for blended and online education are not yet enough developed and implemented in quality assurance systems and reviews</w:t>
            </w:r>
          </w:p>
          <w:p w:rsidR="00DE4191" w:rsidRPr="009B6AA9" w:rsidRDefault="00DE4191" w:rsidP="00D7441B"/>
          <w:p w:rsidR="00DE4191" w:rsidRPr="009B6AA9" w:rsidRDefault="00DE4191" w:rsidP="00D7441B">
            <w:r w:rsidRPr="009B6AA9">
              <w:t xml:space="preserve">Difficult finding experts for reviewing blended and online courses and programs  </w:t>
            </w:r>
          </w:p>
          <w:p w:rsidR="00DE4191" w:rsidRPr="009B6AA9" w:rsidRDefault="00DE4191" w:rsidP="00D7441B"/>
          <w:p w:rsidR="00DE4191" w:rsidRPr="009B6AA9" w:rsidRDefault="00DE4191" w:rsidP="00D7441B">
            <w:r w:rsidRPr="009B6AA9">
              <w:t>In some agencies, more attention for outcomes, less for processes</w:t>
            </w:r>
          </w:p>
          <w:p w:rsidR="00DE4191" w:rsidRPr="009B6AA9" w:rsidRDefault="00DE4191" w:rsidP="00D7441B"/>
        </w:tc>
      </w:tr>
      <w:tr w:rsidR="00DE4191" w:rsidRPr="009B6AA9" w:rsidTr="009B6AA9">
        <w:trPr>
          <w:trHeight w:val="584"/>
        </w:trPr>
        <w:tc>
          <w:tcPr>
            <w:tcW w:w="752" w:type="dxa"/>
            <w:tcBorders>
              <w:top w:val="nil"/>
              <w:left w:val="nil"/>
              <w:bottom w:val="nil"/>
              <w:right w:val="single" w:sz="8" w:space="0" w:color="A6A6A6"/>
            </w:tcBorders>
            <w:shd w:val="clear" w:color="auto" w:fill="E0E0E0"/>
            <w:tcMar>
              <w:top w:w="72" w:type="dxa"/>
              <w:left w:w="144" w:type="dxa"/>
              <w:bottom w:w="72" w:type="dxa"/>
              <w:right w:w="144" w:type="dxa"/>
            </w:tcMar>
            <w:vAlign w:val="center"/>
            <w:hideMark/>
          </w:tcPr>
          <w:p w:rsidR="00DE4191" w:rsidRPr="009B6AA9" w:rsidRDefault="00DE4191" w:rsidP="00D7441B"/>
        </w:tc>
        <w:tc>
          <w:tcPr>
            <w:tcW w:w="4282" w:type="dxa"/>
            <w:tcBorders>
              <w:top w:val="single" w:sz="8" w:space="0" w:color="A6A6A6"/>
              <w:left w:val="single" w:sz="8" w:space="0" w:color="A6A6A6"/>
              <w:bottom w:val="single" w:sz="8" w:space="0" w:color="A6A6A6"/>
              <w:right w:val="single" w:sz="8" w:space="0" w:color="A6A6A6"/>
            </w:tcBorders>
            <w:shd w:val="clear" w:color="auto" w:fill="00C8FF"/>
            <w:tcMar>
              <w:top w:w="72" w:type="dxa"/>
              <w:left w:w="144" w:type="dxa"/>
              <w:bottom w:w="72" w:type="dxa"/>
              <w:right w:w="144" w:type="dxa"/>
            </w:tcMar>
            <w:vAlign w:val="center"/>
            <w:hideMark/>
          </w:tcPr>
          <w:p w:rsidR="00DE4191" w:rsidRPr="009B6AA9" w:rsidRDefault="00DE4191" w:rsidP="00D7441B">
            <w:r w:rsidRPr="009B6AA9">
              <w:rPr>
                <w:b/>
                <w:bCs/>
              </w:rPr>
              <w:t>OPPORTUNITIES</w:t>
            </w:r>
          </w:p>
        </w:tc>
        <w:tc>
          <w:tcPr>
            <w:tcW w:w="4266" w:type="dxa"/>
            <w:tcBorders>
              <w:top w:val="single" w:sz="8" w:space="0" w:color="A6A6A6"/>
              <w:left w:val="single" w:sz="8" w:space="0" w:color="A6A6A6"/>
              <w:bottom w:val="single" w:sz="8" w:space="0" w:color="A6A6A6"/>
              <w:right w:val="single" w:sz="8" w:space="0" w:color="A6A6A6"/>
            </w:tcBorders>
            <w:shd w:val="clear" w:color="auto" w:fill="CC006A"/>
            <w:tcMar>
              <w:top w:w="72" w:type="dxa"/>
              <w:left w:w="144" w:type="dxa"/>
              <w:bottom w:w="72" w:type="dxa"/>
              <w:right w:w="144" w:type="dxa"/>
            </w:tcMar>
            <w:vAlign w:val="center"/>
            <w:hideMark/>
          </w:tcPr>
          <w:p w:rsidR="00DE4191" w:rsidRPr="009B6AA9" w:rsidRDefault="00DE4191" w:rsidP="00D7441B">
            <w:r w:rsidRPr="009B6AA9">
              <w:rPr>
                <w:b/>
                <w:bCs/>
              </w:rPr>
              <w:t>THREATS</w:t>
            </w:r>
          </w:p>
        </w:tc>
      </w:tr>
      <w:tr w:rsidR="00DE4191" w:rsidRPr="009B6AA9" w:rsidTr="009B6AA9">
        <w:trPr>
          <w:trHeight w:val="3189"/>
        </w:trPr>
        <w:tc>
          <w:tcPr>
            <w:tcW w:w="752" w:type="dxa"/>
            <w:tcBorders>
              <w:top w:val="nil"/>
              <w:left w:val="nil"/>
              <w:bottom w:val="nil"/>
              <w:right w:val="single" w:sz="8" w:space="0" w:color="A6A6A6"/>
            </w:tcBorders>
            <w:shd w:val="clear" w:color="auto" w:fill="E0E0E0"/>
            <w:tcMar>
              <w:top w:w="72" w:type="dxa"/>
              <w:left w:w="144" w:type="dxa"/>
              <w:bottom w:w="72" w:type="dxa"/>
              <w:right w:w="144" w:type="dxa"/>
            </w:tcMar>
            <w:textDirection w:val="btLr"/>
            <w:vAlign w:val="center"/>
            <w:hideMark/>
          </w:tcPr>
          <w:p w:rsidR="00DE4191" w:rsidRPr="009B6AA9" w:rsidRDefault="00DE4191" w:rsidP="00D7441B">
            <w:r w:rsidRPr="009B6AA9">
              <w:rPr>
                <w:b/>
                <w:bCs/>
              </w:rPr>
              <w:t>EXTERNAL</w:t>
            </w:r>
          </w:p>
        </w:tc>
        <w:tc>
          <w:tcPr>
            <w:tcW w:w="4282" w:type="dxa"/>
            <w:tcBorders>
              <w:top w:val="single" w:sz="8" w:space="0" w:color="A6A6A6"/>
              <w:left w:val="single" w:sz="8" w:space="0" w:color="A6A6A6"/>
              <w:bottom w:val="single" w:sz="8" w:space="0" w:color="A6A6A6"/>
              <w:right w:val="single" w:sz="8" w:space="0" w:color="A6A6A6"/>
            </w:tcBorders>
            <w:shd w:val="clear" w:color="auto" w:fill="auto"/>
            <w:tcMar>
              <w:top w:w="72" w:type="dxa"/>
              <w:left w:w="144" w:type="dxa"/>
              <w:bottom w:w="72" w:type="dxa"/>
              <w:right w:w="144" w:type="dxa"/>
            </w:tcMar>
            <w:hideMark/>
          </w:tcPr>
          <w:p w:rsidR="00DE4191" w:rsidRPr="009B6AA9" w:rsidRDefault="00DE4191" w:rsidP="00D7441B">
            <w:r w:rsidRPr="009B6AA9">
              <w:t>Educational technology becomes stronge</w:t>
            </w:r>
            <w:r w:rsidR="009B6AA9">
              <w:t>r</w:t>
            </w:r>
            <w:r w:rsidRPr="009B6AA9">
              <w:t>, more fit to blended and onli</w:t>
            </w:r>
            <w:r w:rsidR="009B6AA9">
              <w:t>n</w:t>
            </w:r>
            <w:r w:rsidRPr="009B6AA9">
              <w:t>e course design and to independent learning (the new yOU-platform of the Open University of the Netherlands)</w:t>
            </w:r>
          </w:p>
          <w:p w:rsidR="00DE4191" w:rsidRPr="009B6AA9" w:rsidRDefault="00DE4191" w:rsidP="00D7441B">
            <w:r w:rsidRPr="009B6AA9">
              <w:t>Educational theories and design science becomes stronger</w:t>
            </w:r>
          </w:p>
          <w:p w:rsidR="00DE4191" w:rsidRPr="009B6AA9" w:rsidRDefault="00DE4191" w:rsidP="00D7441B"/>
          <w:p w:rsidR="00DE4191" w:rsidRPr="009B6AA9" w:rsidRDefault="00DE4191" w:rsidP="00D7441B">
            <w:r w:rsidRPr="009B6AA9">
              <w:t>Innovative pedagogies and examples of good practice are published (CPL, Innovative Peda</w:t>
            </w:r>
            <w:r w:rsidR="009B6AA9">
              <w:t>gogies UKOU, Envision</w:t>
            </w:r>
            <w:r w:rsidRPr="009B6AA9">
              <w:t>ing report of EADTU/EMPOWER)</w:t>
            </w:r>
          </w:p>
          <w:p w:rsidR="00DE4191" w:rsidRPr="009B6AA9" w:rsidRDefault="00DE4191" w:rsidP="00D7441B">
            <w:r w:rsidRPr="009B6AA9">
              <w:t>CPD is organised for leadership and staff (EMPOWER, EOLLA)</w:t>
            </w:r>
          </w:p>
          <w:p w:rsidR="00DE4191" w:rsidRPr="009B6AA9" w:rsidRDefault="00DE4191" w:rsidP="00D7441B">
            <w:r w:rsidRPr="009B6AA9">
              <w:t xml:space="preserve">The MOOC movement is inspiring many. The MOOC platforms  contribute to innovative strategies and practices (EMC consortium, edX, etc) </w:t>
            </w:r>
          </w:p>
          <w:p w:rsidR="00DE4191" w:rsidRPr="009B6AA9" w:rsidRDefault="00DE4191" w:rsidP="00D7441B">
            <w:r w:rsidRPr="009B6AA9">
              <w:t>It is expected that there will be more requests on accreditation of online study programmes in the near future</w:t>
            </w:r>
          </w:p>
          <w:p w:rsidR="00DE4191" w:rsidRPr="009B6AA9" w:rsidRDefault="00DE4191" w:rsidP="00D7441B">
            <w:r w:rsidRPr="009B6AA9">
              <w:t>EU policies in favour of the modernisation of higher education</w:t>
            </w:r>
          </w:p>
          <w:p w:rsidR="00DE4191" w:rsidRPr="009B6AA9" w:rsidRDefault="00DE4191" w:rsidP="009B6AA9">
            <w:r w:rsidRPr="009B6AA9">
              <w:t>Some countries develop strategies for innovation and blended and online education</w:t>
            </w:r>
          </w:p>
        </w:tc>
        <w:tc>
          <w:tcPr>
            <w:tcW w:w="4266" w:type="dxa"/>
            <w:tcBorders>
              <w:top w:val="single" w:sz="8" w:space="0" w:color="A6A6A6"/>
              <w:left w:val="single" w:sz="8" w:space="0" w:color="A6A6A6"/>
              <w:bottom w:val="single" w:sz="8" w:space="0" w:color="A6A6A6"/>
              <w:right w:val="single" w:sz="8" w:space="0" w:color="A6A6A6"/>
            </w:tcBorders>
            <w:shd w:val="clear" w:color="auto" w:fill="auto"/>
            <w:tcMar>
              <w:top w:w="72" w:type="dxa"/>
              <w:left w:w="144" w:type="dxa"/>
              <w:bottom w:w="72" w:type="dxa"/>
              <w:right w:w="144" w:type="dxa"/>
            </w:tcMar>
            <w:hideMark/>
          </w:tcPr>
          <w:p w:rsidR="00DE4191" w:rsidRPr="009B6AA9" w:rsidRDefault="00DE4191" w:rsidP="00D7441B">
            <w:r w:rsidRPr="009B6AA9">
              <w:t xml:space="preserve">The funding per student for higher education is decreasing in many EU universities </w:t>
            </w:r>
          </w:p>
          <w:p w:rsidR="00DE4191" w:rsidRPr="009B6AA9" w:rsidRDefault="00DE4191" w:rsidP="00D7441B">
            <w:r w:rsidRPr="009B6AA9">
              <w:t xml:space="preserve">Weak governmental strategies in many EU countries </w:t>
            </w:r>
          </w:p>
          <w:p w:rsidR="00DE4191" w:rsidRPr="009B6AA9" w:rsidRDefault="00DE4191" w:rsidP="00D7441B"/>
        </w:tc>
      </w:tr>
    </w:tbl>
    <w:p w:rsidR="00DE4191" w:rsidRPr="009B6AA9" w:rsidRDefault="00DE4191" w:rsidP="008B7276"/>
    <w:sectPr w:rsidR="00DE4191" w:rsidRPr="009B6AA9" w:rsidSect="00354ECC">
      <w:headerReference w:type="default" r:id="rId8"/>
      <w:foot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3F25" w:rsidRDefault="00693F25" w:rsidP="00647F20">
      <w:pPr>
        <w:spacing w:after="0" w:line="240" w:lineRule="auto"/>
      </w:pPr>
      <w:r>
        <w:separator/>
      </w:r>
    </w:p>
  </w:endnote>
  <w:endnote w:type="continuationSeparator" w:id="0">
    <w:p w:rsidR="00693F25" w:rsidRDefault="00693F25" w:rsidP="00647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j-ea">
    <w:panose1 w:val="00000000000000000000"/>
    <w:charset w:val="00"/>
    <w:family w:val="roman"/>
    <w:notTrueType/>
    <w:pitch w:val="default"/>
  </w:font>
  <w:font w:name="+mj-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149995"/>
      <w:docPartObj>
        <w:docPartGallery w:val="Page Numbers (Bottom of Page)"/>
        <w:docPartUnique/>
      </w:docPartObj>
    </w:sdtPr>
    <w:sdtEndPr/>
    <w:sdtContent>
      <w:p w:rsidR="009D3B4C" w:rsidRDefault="009D3B4C">
        <w:pPr>
          <w:pStyle w:val="Voettekst"/>
          <w:jc w:val="right"/>
        </w:pPr>
        <w:r>
          <w:fldChar w:fldCharType="begin"/>
        </w:r>
        <w:r>
          <w:instrText>PAGE   \* MERGEFORMAT</w:instrText>
        </w:r>
        <w:r>
          <w:fldChar w:fldCharType="separate"/>
        </w:r>
        <w:r w:rsidR="009B6AA9" w:rsidRPr="009B6AA9">
          <w:rPr>
            <w:noProof/>
            <w:lang w:val="nl-NL"/>
          </w:rPr>
          <w:t>6</w:t>
        </w:r>
        <w:r>
          <w:fldChar w:fldCharType="end"/>
        </w:r>
      </w:p>
    </w:sdtContent>
  </w:sdt>
  <w:p w:rsidR="009D3B4C" w:rsidRDefault="009D3B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3F25" w:rsidRDefault="00693F25" w:rsidP="00647F20">
      <w:pPr>
        <w:spacing w:after="0" w:line="240" w:lineRule="auto"/>
      </w:pPr>
      <w:r>
        <w:separator/>
      </w:r>
    </w:p>
  </w:footnote>
  <w:footnote w:type="continuationSeparator" w:id="0">
    <w:p w:rsidR="00693F25" w:rsidRDefault="00693F25" w:rsidP="00647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B4C" w:rsidRDefault="009D3B4C" w:rsidP="006D6308">
    <w:pPr>
      <w:pStyle w:val="Koptekst"/>
      <w:jc w:val="right"/>
    </w:pPr>
    <w:r w:rsidRPr="00647F20">
      <w:rPr>
        <w:noProof/>
      </w:rPr>
      <w:drawing>
        <wp:inline distT="0" distB="0" distL="0" distR="0">
          <wp:extent cx="1627188" cy="390525"/>
          <wp:effectExtent l="0" t="0" r="0" b="0"/>
          <wp:docPr id="1" name="Afbeelding 1" descr="EADTU - European Association of Distance Teaching Univers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DTU - European Association of Distance Teaching Universit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766" cy="391144"/>
                  </a:xfrm>
                  <a:prstGeom prst="rect">
                    <a:avLst/>
                  </a:prstGeom>
                  <a:noFill/>
                  <a:ln>
                    <a:noFill/>
                  </a:ln>
                </pic:spPr>
              </pic:pic>
            </a:graphicData>
          </a:graphic>
        </wp:inline>
      </w:drawing>
    </w:r>
    <w:r w:rsidR="006D6308">
      <w:t xml:space="preserve">                                                      </w:t>
    </w:r>
    <w:r w:rsidR="006D6308">
      <w:tab/>
    </w:r>
    <w:r w:rsidR="006D6308" w:rsidRPr="006D6308">
      <w:rPr>
        <w:noProof/>
      </w:rPr>
      <w:drawing>
        <wp:inline distT="0" distB="0" distL="0" distR="0" wp14:anchorId="3F80307B" wp14:editId="2A017BE1">
          <wp:extent cx="2009775" cy="685800"/>
          <wp:effectExtent l="0" t="0" r="952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t="37790" r="65113" b="6683"/>
                  <a:stretch/>
                </pic:blipFill>
                <pic:spPr bwMode="auto">
                  <a:xfrm>
                    <a:off x="0" y="0"/>
                    <a:ext cx="2009775" cy="6858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61DD"/>
    <w:multiLevelType w:val="hybridMultilevel"/>
    <w:tmpl w:val="769476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E70648"/>
    <w:multiLevelType w:val="hybridMultilevel"/>
    <w:tmpl w:val="482661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F52371"/>
    <w:multiLevelType w:val="hybridMultilevel"/>
    <w:tmpl w:val="A43C07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520FD3"/>
    <w:multiLevelType w:val="hybridMultilevel"/>
    <w:tmpl w:val="DCAC76C4"/>
    <w:lvl w:ilvl="0" w:tplc="D5C0C58E">
      <w:start w:val="1"/>
      <w:numFmt w:val="decimal"/>
      <w:lvlText w:val="%1."/>
      <w:lvlJc w:val="left"/>
      <w:pPr>
        <w:tabs>
          <w:tab w:val="num" w:pos="720"/>
        </w:tabs>
        <w:ind w:left="720" w:hanging="360"/>
      </w:pPr>
    </w:lvl>
    <w:lvl w:ilvl="1" w:tplc="C78258C2">
      <w:start w:val="1"/>
      <w:numFmt w:val="decimal"/>
      <w:lvlText w:val="%2)"/>
      <w:lvlJc w:val="left"/>
      <w:pPr>
        <w:ind w:left="1440" w:hanging="360"/>
      </w:pPr>
      <w:rPr>
        <w:rFonts w:hint="default"/>
      </w:rPr>
    </w:lvl>
    <w:lvl w:ilvl="2" w:tplc="0792C972" w:tentative="1">
      <w:start w:val="1"/>
      <w:numFmt w:val="decimal"/>
      <w:lvlText w:val="%3."/>
      <w:lvlJc w:val="left"/>
      <w:pPr>
        <w:tabs>
          <w:tab w:val="num" w:pos="2160"/>
        </w:tabs>
        <w:ind w:left="2160" w:hanging="360"/>
      </w:pPr>
    </w:lvl>
    <w:lvl w:ilvl="3" w:tplc="8D94CD54" w:tentative="1">
      <w:start w:val="1"/>
      <w:numFmt w:val="decimal"/>
      <w:lvlText w:val="%4."/>
      <w:lvlJc w:val="left"/>
      <w:pPr>
        <w:tabs>
          <w:tab w:val="num" w:pos="2880"/>
        </w:tabs>
        <w:ind w:left="2880" w:hanging="360"/>
      </w:pPr>
    </w:lvl>
    <w:lvl w:ilvl="4" w:tplc="9D52CF26" w:tentative="1">
      <w:start w:val="1"/>
      <w:numFmt w:val="decimal"/>
      <w:lvlText w:val="%5."/>
      <w:lvlJc w:val="left"/>
      <w:pPr>
        <w:tabs>
          <w:tab w:val="num" w:pos="3600"/>
        </w:tabs>
        <w:ind w:left="3600" w:hanging="360"/>
      </w:pPr>
    </w:lvl>
    <w:lvl w:ilvl="5" w:tplc="A1D61770" w:tentative="1">
      <w:start w:val="1"/>
      <w:numFmt w:val="decimal"/>
      <w:lvlText w:val="%6."/>
      <w:lvlJc w:val="left"/>
      <w:pPr>
        <w:tabs>
          <w:tab w:val="num" w:pos="4320"/>
        </w:tabs>
        <w:ind w:left="4320" w:hanging="360"/>
      </w:pPr>
    </w:lvl>
    <w:lvl w:ilvl="6" w:tplc="87069A2E" w:tentative="1">
      <w:start w:val="1"/>
      <w:numFmt w:val="decimal"/>
      <w:lvlText w:val="%7."/>
      <w:lvlJc w:val="left"/>
      <w:pPr>
        <w:tabs>
          <w:tab w:val="num" w:pos="5040"/>
        </w:tabs>
        <w:ind w:left="5040" w:hanging="360"/>
      </w:pPr>
    </w:lvl>
    <w:lvl w:ilvl="7" w:tplc="47841240" w:tentative="1">
      <w:start w:val="1"/>
      <w:numFmt w:val="decimal"/>
      <w:lvlText w:val="%8."/>
      <w:lvlJc w:val="left"/>
      <w:pPr>
        <w:tabs>
          <w:tab w:val="num" w:pos="5760"/>
        </w:tabs>
        <w:ind w:left="5760" w:hanging="360"/>
      </w:pPr>
    </w:lvl>
    <w:lvl w:ilvl="8" w:tplc="979820A0" w:tentative="1">
      <w:start w:val="1"/>
      <w:numFmt w:val="decimal"/>
      <w:lvlText w:val="%9."/>
      <w:lvlJc w:val="left"/>
      <w:pPr>
        <w:tabs>
          <w:tab w:val="num" w:pos="6480"/>
        </w:tabs>
        <w:ind w:left="6480" w:hanging="360"/>
      </w:pPr>
    </w:lvl>
  </w:abstractNum>
  <w:abstractNum w:abstractNumId="4" w15:restartNumberingAfterBreak="0">
    <w:nsid w:val="1201716E"/>
    <w:multiLevelType w:val="hybridMultilevel"/>
    <w:tmpl w:val="C0CA9C1E"/>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5" w15:restartNumberingAfterBreak="0">
    <w:nsid w:val="134910E5"/>
    <w:multiLevelType w:val="hybridMultilevel"/>
    <w:tmpl w:val="C02E5F04"/>
    <w:lvl w:ilvl="0" w:tplc="99E2FCDA">
      <w:start w:val="1"/>
      <w:numFmt w:val="bullet"/>
      <w:lvlText w:val="•"/>
      <w:lvlJc w:val="left"/>
      <w:pPr>
        <w:tabs>
          <w:tab w:val="num" w:pos="720"/>
        </w:tabs>
        <w:ind w:left="720" w:hanging="360"/>
      </w:pPr>
      <w:rPr>
        <w:rFonts w:ascii="Arial" w:hAnsi="Arial" w:hint="default"/>
      </w:rPr>
    </w:lvl>
    <w:lvl w:ilvl="1" w:tplc="FE9408D4" w:tentative="1">
      <w:start w:val="1"/>
      <w:numFmt w:val="bullet"/>
      <w:lvlText w:val="•"/>
      <w:lvlJc w:val="left"/>
      <w:pPr>
        <w:tabs>
          <w:tab w:val="num" w:pos="1440"/>
        </w:tabs>
        <w:ind w:left="1440" w:hanging="360"/>
      </w:pPr>
      <w:rPr>
        <w:rFonts w:ascii="Arial" w:hAnsi="Arial" w:hint="default"/>
      </w:rPr>
    </w:lvl>
    <w:lvl w:ilvl="2" w:tplc="EC2ABEBC" w:tentative="1">
      <w:start w:val="1"/>
      <w:numFmt w:val="bullet"/>
      <w:lvlText w:val="•"/>
      <w:lvlJc w:val="left"/>
      <w:pPr>
        <w:tabs>
          <w:tab w:val="num" w:pos="2160"/>
        </w:tabs>
        <w:ind w:left="2160" w:hanging="360"/>
      </w:pPr>
      <w:rPr>
        <w:rFonts w:ascii="Arial" w:hAnsi="Arial" w:hint="default"/>
      </w:rPr>
    </w:lvl>
    <w:lvl w:ilvl="3" w:tplc="C848E958" w:tentative="1">
      <w:start w:val="1"/>
      <w:numFmt w:val="bullet"/>
      <w:lvlText w:val="•"/>
      <w:lvlJc w:val="left"/>
      <w:pPr>
        <w:tabs>
          <w:tab w:val="num" w:pos="2880"/>
        </w:tabs>
        <w:ind w:left="2880" w:hanging="360"/>
      </w:pPr>
      <w:rPr>
        <w:rFonts w:ascii="Arial" w:hAnsi="Arial" w:hint="default"/>
      </w:rPr>
    </w:lvl>
    <w:lvl w:ilvl="4" w:tplc="58682254" w:tentative="1">
      <w:start w:val="1"/>
      <w:numFmt w:val="bullet"/>
      <w:lvlText w:val="•"/>
      <w:lvlJc w:val="left"/>
      <w:pPr>
        <w:tabs>
          <w:tab w:val="num" w:pos="3600"/>
        </w:tabs>
        <w:ind w:left="3600" w:hanging="360"/>
      </w:pPr>
      <w:rPr>
        <w:rFonts w:ascii="Arial" w:hAnsi="Arial" w:hint="default"/>
      </w:rPr>
    </w:lvl>
    <w:lvl w:ilvl="5" w:tplc="557ABF6A" w:tentative="1">
      <w:start w:val="1"/>
      <w:numFmt w:val="bullet"/>
      <w:lvlText w:val="•"/>
      <w:lvlJc w:val="left"/>
      <w:pPr>
        <w:tabs>
          <w:tab w:val="num" w:pos="4320"/>
        </w:tabs>
        <w:ind w:left="4320" w:hanging="360"/>
      </w:pPr>
      <w:rPr>
        <w:rFonts w:ascii="Arial" w:hAnsi="Arial" w:hint="default"/>
      </w:rPr>
    </w:lvl>
    <w:lvl w:ilvl="6" w:tplc="B9A2F800" w:tentative="1">
      <w:start w:val="1"/>
      <w:numFmt w:val="bullet"/>
      <w:lvlText w:val="•"/>
      <w:lvlJc w:val="left"/>
      <w:pPr>
        <w:tabs>
          <w:tab w:val="num" w:pos="5040"/>
        </w:tabs>
        <w:ind w:left="5040" w:hanging="360"/>
      </w:pPr>
      <w:rPr>
        <w:rFonts w:ascii="Arial" w:hAnsi="Arial" w:hint="default"/>
      </w:rPr>
    </w:lvl>
    <w:lvl w:ilvl="7" w:tplc="99AE48D8" w:tentative="1">
      <w:start w:val="1"/>
      <w:numFmt w:val="bullet"/>
      <w:lvlText w:val="•"/>
      <w:lvlJc w:val="left"/>
      <w:pPr>
        <w:tabs>
          <w:tab w:val="num" w:pos="5760"/>
        </w:tabs>
        <w:ind w:left="5760" w:hanging="360"/>
      </w:pPr>
      <w:rPr>
        <w:rFonts w:ascii="Arial" w:hAnsi="Arial" w:hint="default"/>
      </w:rPr>
    </w:lvl>
    <w:lvl w:ilvl="8" w:tplc="D48EC6D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72195B"/>
    <w:multiLevelType w:val="hybridMultilevel"/>
    <w:tmpl w:val="BE94A4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4C62D09"/>
    <w:multiLevelType w:val="hybridMultilevel"/>
    <w:tmpl w:val="009CC42C"/>
    <w:lvl w:ilvl="0" w:tplc="50C60BA6">
      <w:start w:val="1"/>
      <w:numFmt w:val="bullet"/>
      <w:lvlText w:val="•"/>
      <w:lvlJc w:val="left"/>
      <w:pPr>
        <w:tabs>
          <w:tab w:val="num" w:pos="720"/>
        </w:tabs>
        <w:ind w:left="720" w:hanging="360"/>
      </w:pPr>
      <w:rPr>
        <w:rFonts w:ascii="Arial" w:hAnsi="Arial" w:hint="default"/>
      </w:rPr>
    </w:lvl>
    <w:lvl w:ilvl="1" w:tplc="4E6611EC" w:tentative="1">
      <w:start w:val="1"/>
      <w:numFmt w:val="bullet"/>
      <w:lvlText w:val="•"/>
      <w:lvlJc w:val="left"/>
      <w:pPr>
        <w:tabs>
          <w:tab w:val="num" w:pos="1440"/>
        </w:tabs>
        <w:ind w:left="1440" w:hanging="360"/>
      </w:pPr>
      <w:rPr>
        <w:rFonts w:ascii="Arial" w:hAnsi="Arial" w:hint="default"/>
      </w:rPr>
    </w:lvl>
    <w:lvl w:ilvl="2" w:tplc="F9387364" w:tentative="1">
      <w:start w:val="1"/>
      <w:numFmt w:val="bullet"/>
      <w:lvlText w:val="•"/>
      <w:lvlJc w:val="left"/>
      <w:pPr>
        <w:tabs>
          <w:tab w:val="num" w:pos="2160"/>
        </w:tabs>
        <w:ind w:left="2160" w:hanging="360"/>
      </w:pPr>
      <w:rPr>
        <w:rFonts w:ascii="Arial" w:hAnsi="Arial" w:hint="default"/>
      </w:rPr>
    </w:lvl>
    <w:lvl w:ilvl="3" w:tplc="57E21540" w:tentative="1">
      <w:start w:val="1"/>
      <w:numFmt w:val="bullet"/>
      <w:lvlText w:val="•"/>
      <w:lvlJc w:val="left"/>
      <w:pPr>
        <w:tabs>
          <w:tab w:val="num" w:pos="2880"/>
        </w:tabs>
        <w:ind w:left="2880" w:hanging="360"/>
      </w:pPr>
      <w:rPr>
        <w:rFonts w:ascii="Arial" w:hAnsi="Arial" w:hint="default"/>
      </w:rPr>
    </w:lvl>
    <w:lvl w:ilvl="4" w:tplc="BDA87F6E" w:tentative="1">
      <w:start w:val="1"/>
      <w:numFmt w:val="bullet"/>
      <w:lvlText w:val="•"/>
      <w:lvlJc w:val="left"/>
      <w:pPr>
        <w:tabs>
          <w:tab w:val="num" w:pos="3600"/>
        </w:tabs>
        <w:ind w:left="3600" w:hanging="360"/>
      </w:pPr>
      <w:rPr>
        <w:rFonts w:ascii="Arial" w:hAnsi="Arial" w:hint="default"/>
      </w:rPr>
    </w:lvl>
    <w:lvl w:ilvl="5" w:tplc="30687122" w:tentative="1">
      <w:start w:val="1"/>
      <w:numFmt w:val="bullet"/>
      <w:lvlText w:val="•"/>
      <w:lvlJc w:val="left"/>
      <w:pPr>
        <w:tabs>
          <w:tab w:val="num" w:pos="4320"/>
        </w:tabs>
        <w:ind w:left="4320" w:hanging="360"/>
      </w:pPr>
      <w:rPr>
        <w:rFonts w:ascii="Arial" w:hAnsi="Arial" w:hint="default"/>
      </w:rPr>
    </w:lvl>
    <w:lvl w:ilvl="6" w:tplc="87C40866" w:tentative="1">
      <w:start w:val="1"/>
      <w:numFmt w:val="bullet"/>
      <w:lvlText w:val="•"/>
      <w:lvlJc w:val="left"/>
      <w:pPr>
        <w:tabs>
          <w:tab w:val="num" w:pos="5040"/>
        </w:tabs>
        <w:ind w:left="5040" w:hanging="360"/>
      </w:pPr>
      <w:rPr>
        <w:rFonts w:ascii="Arial" w:hAnsi="Arial" w:hint="default"/>
      </w:rPr>
    </w:lvl>
    <w:lvl w:ilvl="7" w:tplc="9AFE9160" w:tentative="1">
      <w:start w:val="1"/>
      <w:numFmt w:val="bullet"/>
      <w:lvlText w:val="•"/>
      <w:lvlJc w:val="left"/>
      <w:pPr>
        <w:tabs>
          <w:tab w:val="num" w:pos="5760"/>
        </w:tabs>
        <w:ind w:left="5760" w:hanging="360"/>
      </w:pPr>
      <w:rPr>
        <w:rFonts w:ascii="Arial" w:hAnsi="Arial" w:hint="default"/>
      </w:rPr>
    </w:lvl>
    <w:lvl w:ilvl="8" w:tplc="7672583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096795"/>
    <w:multiLevelType w:val="hybridMultilevel"/>
    <w:tmpl w:val="0D327D2E"/>
    <w:lvl w:ilvl="0" w:tplc="EA6230D0">
      <w:start w:val="1"/>
      <w:numFmt w:val="bullet"/>
      <w:lvlText w:val="•"/>
      <w:lvlJc w:val="left"/>
      <w:pPr>
        <w:tabs>
          <w:tab w:val="num" w:pos="720"/>
        </w:tabs>
        <w:ind w:left="720" w:hanging="360"/>
      </w:pPr>
      <w:rPr>
        <w:rFonts w:ascii="Arial" w:hAnsi="Arial" w:hint="default"/>
      </w:rPr>
    </w:lvl>
    <w:lvl w:ilvl="1" w:tplc="F81257B6" w:tentative="1">
      <w:start w:val="1"/>
      <w:numFmt w:val="bullet"/>
      <w:lvlText w:val="•"/>
      <w:lvlJc w:val="left"/>
      <w:pPr>
        <w:tabs>
          <w:tab w:val="num" w:pos="1440"/>
        </w:tabs>
        <w:ind w:left="1440" w:hanging="360"/>
      </w:pPr>
      <w:rPr>
        <w:rFonts w:ascii="Arial" w:hAnsi="Arial" w:hint="default"/>
      </w:rPr>
    </w:lvl>
    <w:lvl w:ilvl="2" w:tplc="36C237F0" w:tentative="1">
      <w:start w:val="1"/>
      <w:numFmt w:val="bullet"/>
      <w:lvlText w:val="•"/>
      <w:lvlJc w:val="left"/>
      <w:pPr>
        <w:tabs>
          <w:tab w:val="num" w:pos="2160"/>
        </w:tabs>
        <w:ind w:left="2160" w:hanging="360"/>
      </w:pPr>
      <w:rPr>
        <w:rFonts w:ascii="Arial" w:hAnsi="Arial" w:hint="default"/>
      </w:rPr>
    </w:lvl>
    <w:lvl w:ilvl="3" w:tplc="4A02886E" w:tentative="1">
      <w:start w:val="1"/>
      <w:numFmt w:val="bullet"/>
      <w:lvlText w:val="•"/>
      <w:lvlJc w:val="left"/>
      <w:pPr>
        <w:tabs>
          <w:tab w:val="num" w:pos="2880"/>
        </w:tabs>
        <w:ind w:left="2880" w:hanging="360"/>
      </w:pPr>
      <w:rPr>
        <w:rFonts w:ascii="Arial" w:hAnsi="Arial" w:hint="default"/>
      </w:rPr>
    </w:lvl>
    <w:lvl w:ilvl="4" w:tplc="4D2AC55A" w:tentative="1">
      <w:start w:val="1"/>
      <w:numFmt w:val="bullet"/>
      <w:lvlText w:val="•"/>
      <w:lvlJc w:val="left"/>
      <w:pPr>
        <w:tabs>
          <w:tab w:val="num" w:pos="3600"/>
        </w:tabs>
        <w:ind w:left="3600" w:hanging="360"/>
      </w:pPr>
      <w:rPr>
        <w:rFonts w:ascii="Arial" w:hAnsi="Arial" w:hint="default"/>
      </w:rPr>
    </w:lvl>
    <w:lvl w:ilvl="5" w:tplc="9F1EDFE6" w:tentative="1">
      <w:start w:val="1"/>
      <w:numFmt w:val="bullet"/>
      <w:lvlText w:val="•"/>
      <w:lvlJc w:val="left"/>
      <w:pPr>
        <w:tabs>
          <w:tab w:val="num" w:pos="4320"/>
        </w:tabs>
        <w:ind w:left="4320" w:hanging="360"/>
      </w:pPr>
      <w:rPr>
        <w:rFonts w:ascii="Arial" w:hAnsi="Arial" w:hint="default"/>
      </w:rPr>
    </w:lvl>
    <w:lvl w:ilvl="6" w:tplc="3FD41812" w:tentative="1">
      <w:start w:val="1"/>
      <w:numFmt w:val="bullet"/>
      <w:lvlText w:val="•"/>
      <w:lvlJc w:val="left"/>
      <w:pPr>
        <w:tabs>
          <w:tab w:val="num" w:pos="5040"/>
        </w:tabs>
        <w:ind w:left="5040" w:hanging="360"/>
      </w:pPr>
      <w:rPr>
        <w:rFonts w:ascii="Arial" w:hAnsi="Arial" w:hint="default"/>
      </w:rPr>
    </w:lvl>
    <w:lvl w:ilvl="7" w:tplc="B1766F6E" w:tentative="1">
      <w:start w:val="1"/>
      <w:numFmt w:val="bullet"/>
      <w:lvlText w:val="•"/>
      <w:lvlJc w:val="left"/>
      <w:pPr>
        <w:tabs>
          <w:tab w:val="num" w:pos="5760"/>
        </w:tabs>
        <w:ind w:left="5760" w:hanging="360"/>
      </w:pPr>
      <w:rPr>
        <w:rFonts w:ascii="Arial" w:hAnsi="Arial" w:hint="default"/>
      </w:rPr>
    </w:lvl>
    <w:lvl w:ilvl="8" w:tplc="4176AFE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84D76A0"/>
    <w:multiLevelType w:val="hybridMultilevel"/>
    <w:tmpl w:val="ACE07BD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33D25F3"/>
    <w:multiLevelType w:val="hybridMultilevel"/>
    <w:tmpl w:val="99805F88"/>
    <w:lvl w:ilvl="0" w:tplc="A86243E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8EA5F9A"/>
    <w:multiLevelType w:val="hybridMultilevel"/>
    <w:tmpl w:val="CFD6C8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B050726"/>
    <w:multiLevelType w:val="hybridMultilevel"/>
    <w:tmpl w:val="B82E4276"/>
    <w:lvl w:ilvl="0" w:tplc="02D01E4A">
      <w:start w:val="1"/>
      <w:numFmt w:val="bullet"/>
      <w:lvlText w:val="•"/>
      <w:lvlJc w:val="left"/>
      <w:pPr>
        <w:tabs>
          <w:tab w:val="num" w:pos="720"/>
        </w:tabs>
        <w:ind w:left="720" w:hanging="360"/>
      </w:pPr>
      <w:rPr>
        <w:rFonts w:ascii="Arial" w:hAnsi="Arial" w:hint="default"/>
      </w:rPr>
    </w:lvl>
    <w:lvl w:ilvl="1" w:tplc="84788CE6" w:tentative="1">
      <w:start w:val="1"/>
      <w:numFmt w:val="bullet"/>
      <w:lvlText w:val="•"/>
      <w:lvlJc w:val="left"/>
      <w:pPr>
        <w:tabs>
          <w:tab w:val="num" w:pos="1440"/>
        </w:tabs>
        <w:ind w:left="1440" w:hanging="360"/>
      </w:pPr>
      <w:rPr>
        <w:rFonts w:ascii="Arial" w:hAnsi="Arial" w:hint="default"/>
      </w:rPr>
    </w:lvl>
    <w:lvl w:ilvl="2" w:tplc="EFAE8E06" w:tentative="1">
      <w:start w:val="1"/>
      <w:numFmt w:val="bullet"/>
      <w:lvlText w:val="•"/>
      <w:lvlJc w:val="left"/>
      <w:pPr>
        <w:tabs>
          <w:tab w:val="num" w:pos="2160"/>
        </w:tabs>
        <w:ind w:left="2160" w:hanging="360"/>
      </w:pPr>
      <w:rPr>
        <w:rFonts w:ascii="Arial" w:hAnsi="Arial" w:hint="default"/>
      </w:rPr>
    </w:lvl>
    <w:lvl w:ilvl="3" w:tplc="E4AE730A" w:tentative="1">
      <w:start w:val="1"/>
      <w:numFmt w:val="bullet"/>
      <w:lvlText w:val="•"/>
      <w:lvlJc w:val="left"/>
      <w:pPr>
        <w:tabs>
          <w:tab w:val="num" w:pos="2880"/>
        </w:tabs>
        <w:ind w:left="2880" w:hanging="360"/>
      </w:pPr>
      <w:rPr>
        <w:rFonts w:ascii="Arial" w:hAnsi="Arial" w:hint="default"/>
      </w:rPr>
    </w:lvl>
    <w:lvl w:ilvl="4" w:tplc="DF94E6D8" w:tentative="1">
      <w:start w:val="1"/>
      <w:numFmt w:val="bullet"/>
      <w:lvlText w:val="•"/>
      <w:lvlJc w:val="left"/>
      <w:pPr>
        <w:tabs>
          <w:tab w:val="num" w:pos="3600"/>
        </w:tabs>
        <w:ind w:left="3600" w:hanging="360"/>
      </w:pPr>
      <w:rPr>
        <w:rFonts w:ascii="Arial" w:hAnsi="Arial" w:hint="default"/>
      </w:rPr>
    </w:lvl>
    <w:lvl w:ilvl="5" w:tplc="6AC690E6" w:tentative="1">
      <w:start w:val="1"/>
      <w:numFmt w:val="bullet"/>
      <w:lvlText w:val="•"/>
      <w:lvlJc w:val="left"/>
      <w:pPr>
        <w:tabs>
          <w:tab w:val="num" w:pos="4320"/>
        </w:tabs>
        <w:ind w:left="4320" w:hanging="360"/>
      </w:pPr>
      <w:rPr>
        <w:rFonts w:ascii="Arial" w:hAnsi="Arial" w:hint="default"/>
      </w:rPr>
    </w:lvl>
    <w:lvl w:ilvl="6" w:tplc="46EC5432" w:tentative="1">
      <w:start w:val="1"/>
      <w:numFmt w:val="bullet"/>
      <w:lvlText w:val="•"/>
      <w:lvlJc w:val="left"/>
      <w:pPr>
        <w:tabs>
          <w:tab w:val="num" w:pos="5040"/>
        </w:tabs>
        <w:ind w:left="5040" w:hanging="360"/>
      </w:pPr>
      <w:rPr>
        <w:rFonts w:ascii="Arial" w:hAnsi="Arial" w:hint="default"/>
      </w:rPr>
    </w:lvl>
    <w:lvl w:ilvl="7" w:tplc="5EB4801C" w:tentative="1">
      <w:start w:val="1"/>
      <w:numFmt w:val="bullet"/>
      <w:lvlText w:val="•"/>
      <w:lvlJc w:val="left"/>
      <w:pPr>
        <w:tabs>
          <w:tab w:val="num" w:pos="5760"/>
        </w:tabs>
        <w:ind w:left="5760" w:hanging="360"/>
      </w:pPr>
      <w:rPr>
        <w:rFonts w:ascii="Arial" w:hAnsi="Arial" w:hint="default"/>
      </w:rPr>
    </w:lvl>
    <w:lvl w:ilvl="8" w:tplc="18C6AAB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576BF7"/>
    <w:multiLevelType w:val="hybridMultilevel"/>
    <w:tmpl w:val="45182F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B6751A5"/>
    <w:multiLevelType w:val="multilevel"/>
    <w:tmpl w:val="F06E6C5C"/>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574181"/>
    <w:multiLevelType w:val="hybridMultilevel"/>
    <w:tmpl w:val="48C86EE8"/>
    <w:lvl w:ilvl="0" w:tplc="2710E052">
      <w:start w:val="1"/>
      <w:numFmt w:val="decimal"/>
      <w:lvlText w:val="%1."/>
      <w:lvlJc w:val="left"/>
      <w:pPr>
        <w:tabs>
          <w:tab w:val="num" w:pos="720"/>
        </w:tabs>
        <w:ind w:left="720" w:hanging="360"/>
      </w:pPr>
    </w:lvl>
    <w:lvl w:ilvl="1" w:tplc="4D3690E2">
      <w:start w:val="1"/>
      <w:numFmt w:val="decimal"/>
      <w:lvlText w:val="%2."/>
      <w:lvlJc w:val="left"/>
      <w:pPr>
        <w:tabs>
          <w:tab w:val="num" w:pos="1440"/>
        </w:tabs>
        <w:ind w:left="1440" w:hanging="360"/>
      </w:pPr>
    </w:lvl>
    <w:lvl w:ilvl="2" w:tplc="D4BCE968" w:tentative="1">
      <w:start w:val="1"/>
      <w:numFmt w:val="decimal"/>
      <w:lvlText w:val="%3."/>
      <w:lvlJc w:val="left"/>
      <w:pPr>
        <w:tabs>
          <w:tab w:val="num" w:pos="2160"/>
        </w:tabs>
        <w:ind w:left="2160" w:hanging="360"/>
      </w:pPr>
    </w:lvl>
    <w:lvl w:ilvl="3" w:tplc="E81CFA52" w:tentative="1">
      <w:start w:val="1"/>
      <w:numFmt w:val="decimal"/>
      <w:lvlText w:val="%4."/>
      <w:lvlJc w:val="left"/>
      <w:pPr>
        <w:tabs>
          <w:tab w:val="num" w:pos="2880"/>
        </w:tabs>
        <w:ind w:left="2880" w:hanging="360"/>
      </w:pPr>
    </w:lvl>
    <w:lvl w:ilvl="4" w:tplc="BDDE7FD8" w:tentative="1">
      <w:start w:val="1"/>
      <w:numFmt w:val="decimal"/>
      <w:lvlText w:val="%5."/>
      <w:lvlJc w:val="left"/>
      <w:pPr>
        <w:tabs>
          <w:tab w:val="num" w:pos="3600"/>
        </w:tabs>
        <w:ind w:left="3600" w:hanging="360"/>
      </w:pPr>
    </w:lvl>
    <w:lvl w:ilvl="5" w:tplc="08E6CF3A" w:tentative="1">
      <w:start w:val="1"/>
      <w:numFmt w:val="decimal"/>
      <w:lvlText w:val="%6."/>
      <w:lvlJc w:val="left"/>
      <w:pPr>
        <w:tabs>
          <w:tab w:val="num" w:pos="4320"/>
        </w:tabs>
        <w:ind w:left="4320" w:hanging="360"/>
      </w:pPr>
    </w:lvl>
    <w:lvl w:ilvl="6" w:tplc="80500FA8" w:tentative="1">
      <w:start w:val="1"/>
      <w:numFmt w:val="decimal"/>
      <w:lvlText w:val="%7."/>
      <w:lvlJc w:val="left"/>
      <w:pPr>
        <w:tabs>
          <w:tab w:val="num" w:pos="5040"/>
        </w:tabs>
        <w:ind w:left="5040" w:hanging="360"/>
      </w:pPr>
    </w:lvl>
    <w:lvl w:ilvl="7" w:tplc="E8E08CB8" w:tentative="1">
      <w:start w:val="1"/>
      <w:numFmt w:val="decimal"/>
      <w:lvlText w:val="%8."/>
      <w:lvlJc w:val="left"/>
      <w:pPr>
        <w:tabs>
          <w:tab w:val="num" w:pos="5760"/>
        </w:tabs>
        <w:ind w:left="5760" w:hanging="360"/>
      </w:pPr>
    </w:lvl>
    <w:lvl w:ilvl="8" w:tplc="056E9724" w:tentative="1">
      <w:start w:val="1"/>
      <w:numFmt w:val="decimal"/>
      <w:lvlText w:val="%9."/>
      <w:lvlJc w:val="left"/>
      <w:pPr>
        <w:tabs>
          <w:tab w:val="num" w:pos="6480"/>
        </w:tabs>
        <w:ind w:left="6480" w:hanging="360"/>
      </w:pPr>
    </w:lvl>
  </w:abstractNum>
  <w:abstractNum w:abstractNumId="16" w15:restartNumberingAfterBreak="0">
    <w:nsid w:val="34514440"/>
    <w:multiLevelType w:val="hybridMultilevel"/>
    <w:tmpl w:val="35A0CA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84D3187"/>
    <w:multiLevelType w:val="hybridMultilevel"/>
    <w:tmpl w:val="AF9A2A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B525899"/>
    <w:multiLevelType w:val="hybridMultilevel"/>
    <w:tmpl w:val="44306D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B5C5DAC"/>
    <w:multiLevelType w:val="hybridMultilevel"/>
    <w:tmpl w:val="D1D0A152"/>
    <w:lvl w:ilvl="0" w:tplc="3934F73E">
      <w:start w:val="1"/>
      <w:numFmt w:val="bullet"/>
      <w:lvlText w:val="•"/>
      <w:lvlJc w:val="left"/>
      <w:pPr>
        <w:tabs>
          <w:tab w:val="num" w:pos="720"/>
        </w:tabs>
        <w:ind w:left="720" w:hanging="360"/>
      </w:pPr>
      <w:rPr>
        <w:rFonts w:ascii="Arial" w:hAnsi="Arial" w:hint="default"/>
      </w:rPr>
    </w:lvl>
    <w:lvl w:ilvl="1" w:tplc="988839C0" w:tentative="1">
      <w:start w:val="1"/>
      <w:numFmt w:val="bullet"/>
      <w:lvlText w:val="•"/>
      <w:lvlJc w:val="left"/>
      <w:pPr>
        <w:tabs>
          <w:tab w:val="num" w:pos="1440"/>
        </w:tabs>
        <w:ind w:left="1440" w:hanging="360"/>
      </w:pPr>
      <w:rPr>
        <w:rFonts w:ascii="Arial" w:hAnsi="Arial" w:hint="default"/>
      </w:rPr>
    </w:lvl>
    <w:lvl w:ilvl="2" w:tplc="0BE6E686" w:tentative="1">
      <w:start w:val="1"/>
      <w:numFmt w:val="bullet"/>
      <w:lvlText w:val="•"/>
      <w:lvlJc w:val="left"/>
      <w:pPr>
        <w:tabs>
          <w:tab w:val="num" w:pos="2160"/>
        </w:tabs>
        <w:ind w:left="2160" w:hanging="360"/>
      </w:pPr>
      <w:rPr>
        <w:rFonts w:ascii="Arial" w:hAnsi="Arial" w:hint="default"/>
      </w:rPr>
    </w:lvl>
    <w:lvl w:ilvl="3" w:tplc="33D02B3C" w:tentative="1">
      <w:start w:val="1"/>
      <w:numFmt w:val="bullet"/>
      <w:lvlText w:val="•"/>
      <w:lvlJc w:val="left"/>
      <w:pPr>
        <w:tabs>
          <w:tab w:val="num" w:pos="2880"/>
        </w:tabs>
        <w:ind w:left="2880" w:hanging="360"/>
      </w:pPr>
      <w:rPr>
        <w:rFonts w:ascii="Arial" w:hAnsi="Arial" w:hint="default"/>
      </w:rPr>
    </w:lvl>
    <w:lvl w:ilvl="4" w:tplc="E1B0CBC8" w:tentative="1">
      <w:start w:val="1"/>
      <w:numFmt w:val="bullet"/>
      <w:lvlText w:val="•"/>
      <w:lvlJc w:val="left"/>
      <w:pPr>
        <w:tabs>
          <w:tab w:val="num" w:pos="3600"/>
        </w:tabs>
        <w:ind w:left="3600" w:hanging="360"/>
      </w:pPr>
      <w:rPr>
        <w:rFonts w:ascii="Arial" w:hAnsi="Arial" w:hint="default"/>
      </w:rPr>
    </w:lvl>
    <w:lvl w:ilvl="5" w:tplc="71228D54" w:tentative="1">
      <w:start w:val="1"/>
      <w:numFmt w:val="bullet"/>
      <w:lvlText w:val="•"/>
      <w:lvlJc w:val="left"/>
      <w:pPr>
        <w:tabs>
          <w:tab w:val="num" w:pos="4320"/>
        </w:tabs>
        <w:ind w:left="4320" w:hanging="360"/>
      </w:pPr>
      <w:rPr>
        <w:rFonts w:ascii="Arial" w:hAnsi="Arial" w:hint="default"/>
      </w:rPr>
    </w:lvl>
    <w:lvl w:ilvl="6" w:tplc="4AF04304" w:tentative="1">
      <w:start w:val="1"/>
      <w:numFmt w:val="bullet"/>
      <w:lvlText w:val="•"/>
      <w:lvlJc w:val="left"/>
      <w:pPr>
        <w:tabs>
          <w:tab w:val="num" w:pos="5040"/>
        </w:tabs>
        <w:ind w:left="5040" w:hanging="360"/>
      </w:pPr>
      <w:rPr>
        <w:rFonts w:ascii="Arial" w:hAnsi="Arial" w:hint="default"/>
      </w:rPr>
    </w:lvl>
    <w:lvl w:ilvl="7" w:tplc="820ECB80" w:tentative="1">
      <w:start w:val="1"/>
      <w:numFmt w:val="bullet"/>
      <w:lvlText w:val="•"/>
      <w:lvlJc w:val="left"/>
      <w:pPr>
        <w:tabs>
          <w:tab w:val="num" w:pos="5760"/>
        </w:tabs>
        <w:ind w:left="5760" w:hanging="360"/>
      </w:pPr>
      <w:rPr>
        <w:rFonts w:ascii="Arial" w:hAnsi="Arial" w:hint="default"/>
      </w:rPr>
    </w:lvl>
    <w:lvl w:ilvl="8" w:tplc="97BEBA3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F2300A4"/>
    <w:multiLevelType w:val="hybridMultilevel"/>
    <w:tmpl w:val="8ED054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06E208E"/>
    <w:multiLevelType w:val="hybridMultilevel"/>
    <w:tmpl w:val="410CDD70"/>
    <w:lvl w:ilvl="0" w:tplc="CE4CE404">
      <w:start w:val="1"/>
      <w:numFmt w:val="bullet"/>
      <w:lvlText w:val="•"/>
      <w:lvlJc w:val="left"/>
      <w:pPr>
        <w:tabs>
          <w:tab w:val="num" w:pos="720"/>
        </w:tabs>
        <w:ind w:left="720" w:hanging="360"/>
      </w:pPr>
      <w:rPr>
        <w:rFonts w:ascii="Arial" w:hAnsi="Arial" w:hint="default"/>
      </w:rPr>
    </w:lvl>
    <w:lvl w:ilvl="1" w:tplc="0FBCEB68" w:tentative="1">
      <w:start w:val="1"/>
      <w:numFmt w:val="bullet"/>
      <w:lvlText w:val="•"/>
      <w:lvlJc w:val="left"/>
      <w:pPr>
        <w:tabs>
          <w:tab w:val="num" w:pos="1440"/>
        </w:tabs>
        <w:ind w:left="1440" w:hanging="360"/>
      </w:pPr>
      <w:rPr>
        <w:rFonts w:ascii="Arial" w:hAnsi="Arial" w:hint="default"/>
      </w:rPr>
    </w:lvl>
    <w:lvl w:ilvl="2" w:tplc="BB928ACA" w:tentative="1">
      <w:start w:val="1"/>
      <w:numFmt w:val="bullet"/>
      <w:lvlText w:val="•"/>
      <w:lvlJc w:val="left"/>
      <w:pPr>
        <w:tabs>
          <w:tab w:val="num" w:pos="2160"/>
        </w:tabs>
        <w:ind w:left="2160" w:hanging="360"/>
      </w:pPr>
      <w:rPr>
        <w:rFonts w:ascii="Arial" w:hAnsi="Arial" w:hint="default"/>
      </w:rPr>
    </w:lvl>
    <w:lvl w:ilvl="3" w:tplc="02D6345A" w:tentative="1">
      <w:start w:val="1"/>
      <w:numFmt w:val="bullet"/>
      <w:lvlText w:val="•"/>
      <w:lvlJc w:val="left"/>
      <w:pPr>
        <w:tabs>
          <w:tab w:val="num" w:pos="2880"/>
        </w:tabs>
        <w:ind w:left="2880" w:hanging="360"/>
      </w:pPr>
      <w:rPr>
        <w:rFonts w:ascii="Arial" w:hAnsi="Arial" w:hint="default"/>
      </w:rPr>
    </w:lvl>
    <w:lvl w:ilvl="4" w:tplc="D16E10EA" w:tentative="1">
      <w:start w:val="1"/>
      <w:numFmt w:val="bullet"/>
      <w:lvlText w:val="•"/>
      <w:lvlJc w:val="left"/>
      <w:pPr>
        <w:tabs>
          <w:tab w:val="num" w:pos="3600"/>
        </w:tabs>
        <w:ind w:left="3600" w:hanging="360"/>
      </w:pPr>
      <w:rPr>
        <w:rFonts w:ascii="Arial" w:hAnsi="Arial" w:hint="default"/>
      </w:rPr>
    </w:lvl>
    <w:lvl w:ilvl="5" w:tplc="5A5E49A4" w:tentative="1">
      <w:start w:val="1"/>
      <w:numFmt w:val="bullet"/>
      <w:lvlText w:val="•"/>
      <w:lvlJc w:val="left"/>
      <w:pPr>
        <w:tabs>
          <w:tab w:val="num" w:pos="4320"/>
        </w:tabs>
        <w:ind w:left="4320" w:hanging="360"/>
      </w:pPr>
      <w:rPr>
        <w:rFonts w:ascii="Arial" w:hAnsi="Arial" w:hint="default"/>
      </w:rPr>
    </w:lvl>
    <w:lvl w:ilvl="6" w:tplc="7110E142" w:tentative="1">
      <w:start w:val="1"/>
      <w:numFmt w:val="bullet"/>
      <w:lvlText w:val="•"/>
      <w:lvlJc w:val="left"/>
      <w:pPr>
        <w:tabs>
          <w:tab w:val="num" w:pos="5040"/>
        </w:tabs>
        <w:ind w:left="5040" w:hanging="360"/>
      </w:pPr>
      <w:rPr>
        <w:rFonts w:ascii="Arial" w:hAnsi="Arial" w:hint="default"/>
      </w:rPr>
    </w:lvl>
    <w:lvl w:ilvl="7" w:tplc="52F84C88" w:tentative="1">
      <w:start w:val="1"/>
      <w:numFmt w:val="bullet"/>
      <w:lvlText w:val="•"/>
      <w:lvlJc w:val="left"/>
      <w:pPr>
        <w:tabs>
          <w:tab w:val="num" w:pos="5760"/>
        </w:tabs>
        <w:ind w:left="5760" w:hanging="360"/>
      </w:pPr>
      <w:rPr>
        <w:rFonts w:ascii="Arial" w:hAnsi="Arial" w:hint="default"/>
      </w:rPr>
    </w:lvl>
    <w:lvl w:ilvl="8" w:tplc="8A5EB40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2F64949"/>
    <w:multiLevelType w:val="multilevel"/>
    <w:tmpl w:val="6F604D9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6ED71E9"/>
    <w:multiLevelType w:val="hybridMultilevel"/>
    <w:tmpl w:val="71EA7FE6"/>
    <w:lvl w:ilvl="0" w:tplc="0413000F">
      <w:start w:val="1"/>
      <w:numFmt w:val="decimal"/>
      <w:lvlText w:val="%1."/>
      <w:lvlJc w:val="left"/>
      <w:pPr>
        <w:tabs>
          <w:tab w:val="num" w:pos="720"/>
        </w:tabs>
        <w:ind w:left="720" w:hanging="360"/>
      </w:pPr>
      <w:rPr>
        <w:rFonts w:hint="default"/>
      </w:rPr>
    </w:lvl>
    <w:lvl w:ilvl="1" w:tplc="24B211BC" w:tentative="1">
      <w:start w:val="1"/>
      <w:numFmt w:val="bullet"/>
      <w:lvlText w:val="•"/>
      <w:lvlJc w:val="left"/>
      <w:pPr>
        <w:tabs>
          <w:tab w:val="num" w:pos="1440"/>
        </w:tabs>
        <w:ind w:left="1440" w:hanging="360"/>
      </w:pPr>
      <w:rPr>
        <w:rFonts w:ascii="Arial" w:hAnsi="Arial" w:hint="default"/>
      </w:rPr>
    </w:lvl>
    <w:lvl w:ilvl="2" w:tplc="A378DDB8" w:tentative="1">
      <w:start w:val="1"/>
      <w:numFmt w:val="bullet"/>
      <w:lvlText w:val="•"/>
      <w:lvlJc w:val="left"/>
      <w:pPr>
        <w:tabs>
          <w:tab w:val="num" w:pos="2160"/>
        </w:tabs>
        <w:ind w:left="2160" w:hanging="360"/>
      </w:pPr>
      <w:rPr>
        <w:rFonts w:ascii="Arial" w:hAnsi="Arial" w:hint="default"/>
      </w:rPr>
    </w:lvl>
    <w:lvl w:ilvl="3" w:tplc="607497EA" w:tentative="1">
      <w:start w:val="1"/>
      <w:numFmt w:val="bullet"/>
      <w:lvlText w:val="•"/>
      <w:lvlJc w:val="left"/>
      <w:pPr>
        <w:tabs>
          <w:tab w:val="num" w:pos="2880"/>
        </w:tabs>
        <w:ind w:left="2880" w:hanging="360"/>
      </w:pPr>
      <w:rPr>
        <w:rFonts w:ascii="Arial" w:hAnsi="Arial" w:hint="default"/>
      </w:rPr>
    </w:lvl>
    <w:lvl w:ilvl="4" w:tplc="81E0062C" w:tentative="1">
      <w:start w:val="1"/>
      <w:numFmt w:val="bullet"/>
      <w:lvlText w:val="•"/>
      <w:lvlJc w:val="left"/>
      <w:pPr>
        <w:tabs>
          <w:tab w:val="num" w:pos="3600"/>
        </w:tabs>
        <w:ind w:left="3600" w:hanging="360"/>
      </w:pPr>
      <w:rPr>
        <w:rFonts w:ascii="Arial" w:hAnsi="Arial" w:hint="default"/>
      </w:rPr>
    </w:lvl>
    <w:lvl w:ilvl="5" w:tplc="38A8DC06" w:tentative="1">
      <w:start w:val="1"/>
      <w:numFmt w:val="bullet"/>
      <w:lvlText w:val="•"/>
      <w:lvlJc w:val="left"/>
      <w:pPr>
        <w:tabs>
          <w:tab w:val="num" w:pos="4320"/>
        </w:tabs>
        <w:ind w:left="4320" w:hanging="360"/>
      </w:pPr>
      <w:rPr>
        <w:rFonts w:ascii="Arial" w:hAnsi="Arial" w:hint="default"/>
      </w:rPr>
    </w:lvl>
    <w:lvl w:ilvl="6" w:tplc="83804796" w:tentative="1">
      <w:start w:val="1"/>
      <w:numFmt w:val="bullet"/>
      <w:lvlText w:val="•"/>
      <w:lvlJc w:val="left"/>
      <w:pPr>
        <w:tabs>
          <w:tab w:val="num" w:pos="5040"/>
        </w:tabs>
        <w:ind w:left="5040" w:hanging="360"/>
      </w:pPr>
      <w:rPr>
        <w:rFonts w:ascii="Arial" w:hAnsi="Arial" w:hint="default"/>
      </w:rPr>
    </w:lvl>
    <w:lvl w:ilvl="7" w:tplc="DBEA55E2" w:tentative="1">
      <w:start w:val="1"/>
      <w:numFmt w:val="bullet"/>
      <w:lvlText w:val="•"/>
      <w:lvlJc w:val="left"/>
      <w:pPr>
        <w:tabs>
          <w:tab w:val="num" w:pos="5760"/>
        </w:tabs>
        <w:ind w:left="5760" w:hanging="360"/>
      </w:pPr>
      <w:rPr>
        <w:rFonts w:ascii="Arial" w:hAnsi="Arial" w:hint="default"/>
      </w:rPr>
    </w:lvl>
    <w:lvl w:ilvl="8" w:tplc="33E65EC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6FE7CED"/>
    <w:multiLevelType w:val="hybridMultilevel"/>
    <w:tmpl w:val="383A6D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7725797"/>
    <w:multiLevelType w:val="hybridMultilevel"/>
    <w:tmpl w:val="4CA6D130"/>
    <w:lvl w:ilvl="0" w:tplc="23ACFF3C">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A6C7D07"/>
    <w:multiLevelType w:val="hybridMultilevel"/>
    <w:tmpl w:val="A1E43DAC"/>
    <w:lvl w:ilvl="0" w:tplc="4ED81988">
      <w:start w:val="1"/>
      <w:numFmt w:val="bullet"/>
      <w:lvlText w:val="•"/>
      <w:lvlJc w:val="left"/>
      <w:pPr>
        <w:tabs>
          <w:tab w:val="num" w:pos="720"/>
        </w:tabs>
        <w:ind w:left="720" w:hanging="360"/>
      </w:pPr>
      <w:rPr>
        <w:rFonts w:ascii="Arial" w:hAnsi="Arial" w:hint="default"/>
      </w:rPr>
    </w:lvl>
    <w:lvl w:ilvl="1" w:tplc="BBDC6E50" w:tentative="1">
      <w:start w:val="1"/>
      <w:numFmt w:val="bullet"/>
      <w:lvlText w:val="•"/>
      <w:lvlJc w:val="left"/>
      <w:pPr>
        <w:tabs>
          <w:tab w:val="num" w:pos="1440"/>
        </w:tabs>
        <w:ind w:left="1440" w:hanging="360"/>
      </w:pPr>
      <w:rPr>
        <w:rFonts w:ascii="Arial" w:hAnsi="Arial" w:hint="default"/>
      </w:rPr>
    </w:lvl>
    <w:lvl w:ilvl="2" w:tplc="5588CF76" w:tentative="1">
      <w:start w:val="1"/>
      <w:numFmt w:val="bullet"/>
      <w:lvlText w:val="•"/>
      <w:lvlJc w:val="left"/>
      <w:pPr>
        <w:tabs>
          <w:tab w:val="num" w:pos="2160"/>
        </w:tabs>
        <w:ind w:left="2160" w:hanging="360"/>
      </w:pPr>
      <w:rPr>
        <w:rFonts w:ascii="Arial" w:hAnsi="Arial" w:hint="default"/>
      </w:rPr>
    </w:lvl>
    <w:lvl w:ilvl="3" w:tplc="598257B0" w:tentative="1">
      <w:start w:val="1"/>
      <w:numFmt w:val="bullet"/>
      <w:lvlText w:val="•"/>
      <w:lvlJc w:val="left"/>
      <w:pPr>
        <w:tabs>
          <w:tab w:val="num" w:pos="2880"/>
        </w:tabs>
        <w:ind w:left="2880" w:hanging="360"/>
      </w:pPr>
      <w:rPr>
        <w:rFonts w:ascii="Arial" w:hAnsi="Arial" w:hint="default"/>
      </w:rPr>
    </w:lvl>
    <w:lvl w:ilvl="4" w:tplc="9374430A" w:tentative="1">
      <w:start w:val="1"/>
      <w:numFmt w:val="bullet"/>
      <w:lvlText w:val="•"/>
      <w:lvlJc w:val="left"/>
      <w:pPr>
        <w:tabs>
          <w:tab w:val="num" w:pos="3600"/>
        </w:tabs>
        <w:ind w:left="3600" w:hanging="360"/>
      </w:pPr>
      <w:rPr>
        <w:rFonts w:ascii="Arial" w:hAnsi="Arial" w:hint="default"/>
      </w:rPr>
    </w:lvl>
    <w:lvl w:ilvl="5" w:tplc="2790214A" w:tentative="1">
      <w:start w:val="1"/>
      <w:numFmt w:val="bullet"/>
      <w:lvlText w:val="•"/>
      <w:lvlJc w:val="left"/>
      <w:pPr>
        <w:tabs>
          <w:tab w:val="num" w:pos="4320"/>
        </w:tabs>
        <w:ind w:left="4320" w:hanging="360"/>
      </w:pPr>
      <w:rPr>
        <w:rFonts w:ascii="Arial" w:hAnsi="Arial" w:hint="default"/>
      </w:rPr>
    </w:lvl>
    <w:lvl w:ilvl="6" w:tplc="918C42B6" w:tentative="1">
      <w:start w:val="1"/>
      <w:numFmt w:val="bullet"/>
      <w:lvlText w:val="•"/>
      <w:lvlJc w:val="left"/>
      <w:pPr>
        <w:tabs>
          <w:tab w:val="num" w:pos="5040"/>
        </w:tabs>
        <w:ind w:left="5040" w:hanging="360"/>
      </w:pPr>
      <w:rPr>
        <w:rFonts w:ascii="Arial" w:hAnsi="Arial" w:hint="default"/>
      </w:rPr>
    </w:lvl>
    <w:lvl w:ilvl="7" w:tplc="91666ABC" w:tentative="1">
      <w:start w:val="1"/>
      <w:numFmt w:val="bullet"/>
      <w:lvlText w:val="•"/>
      <w:lvlJc w:val="left"/>
      <w:pPr>
        <w:tabs>
          <w:tab w:val="num" w:pos="5760"/>
        </w:tabs>
        <w:ind w:left="5760" w:hanging="360"/>
      </w:pPr>
      <w:rPr>
        <w:rFonts w:ascii="Arial" w:hAnsi="Arial" w:hint="default"/>
      </w:rPr>
    </w:lvl>
    <w:lvl w:ilvl="8" w:tplc="4B602A5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0F82F0F"/>
    <w:multiLevelType w:val="hybridMultilevel"/>
    <w:tmpl w:val="B8F8AA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5B91377"/>
    <w:multiLevelType w:val="hybridMultilevel"/>
    <w:tmpl w:val="BDC25E9A"/>
    <w:lvl w:ilvl="0" w:tplc="9E06F0A8">
      <w:start w:val="1"/>
      <w:numFmt w:val="bullet"/>
      <w:lvlText w:val="•"/>
      <w:lvlJc w:val="left"/>
      <w:pPr>
        <w:tabs>
          <w:tab w:val="num" w:pos="720"/>
        </w:tabs>
        <w:ind w:left="720" w:hanging="360"/>
      </w:pPr>
      <w:rPr>
        <w:rFonts w:ascii="Arial" w:hAnsi="Arial" w:hint="default"/>
      </w:rPr>
    </w:lvl>
    <w:lvl w:ilvl="1" w:tplc="24B211BC" w:tentative="1">
      <w:start w:val="1"/>
      <w:numFmt w:val="bullet"/>
      <w:lvlText w:val="•"/>
      <w:lvlJc w:val="left"/>
      <w:pPr>
        <w:tabs>
          <w:tab w:val="num" w:pos="1440"/>
        </w:tabs>
        <w:ind w:left="1440" w:hanging="360"/>
      </w:pPr>
      <w:rPr>
        <w:rFonts w:ascii="Arial" w:hAnsi="Arial" w:hint="default"/>
      </w:rPr>
    </w:lvl>
    <w:lvl w:ilvl="2" w:tplc="A378DDB8" w:tentative="1">
      <w:start w:val="1"/>
      <w:numFmt w:val="bullet"/>
      <w:lvlText w:val="•"/>
      <w:lvlJc w:val="left"/>
      <w:pPr>
        <w:tabs>
          <w:tab w:val="num" w:pos="2160"/>
        </w:tabs>
        <w:ind w:left="2160" w:hanging="360"/>
      </w:pPr>
      <w:rPr>
        <w:rFonts w:ascii="Arial" w:hAnsi="Arial" w:hint="default"/>
      </w:rPr>
    </w:lvl>
    <w:lvl w:ilvl="3" w:tplc="607497EA" w:tentative="1">
      <w:start w:val="1"/>
      <w:numFmt w:val="bullet"/>
      <w:lvlText w:val="•"/>
      <w:lvlJc w:val="left"/>
      <w:pPr>
        <w:tabs>
          <w:tab w:val="num" w:pos="2880"/>
        </w:tabs>
        <w:ind w:left="2880" w:hanging="360"/>
      </w:pPr>
      <w:rPr>
        <w:rFonts w:ascii="Arial" w:hAnsi="Arial" w:hint="default"/>
      </w:rPr>
    </w:lvl>
    <w:lvl w:ilvl="4" w:tplc="81E0062C" w:tentative="1">
      <w:start w:val="1"/>
      <w:numFmt w:val="bullet"/>
      <w:lvlText w:val="•"/>
      <w:lvlJc w:val="left"/>
      <w:pPr>
        <w:tabs>
          <w:tab w:val="num" w:pos="3600"/>
        </w:tabs>
        <w:ind w:left="3600" w:hanging="360"/>
      </w:pPr>
      <w:rPr>
        <w:rFonts w:ascii="Arial" w:hAnsi="Arial" w:hint="default"/>
      </w:rPr>
    </w:lvl>
    <w:lvl w:ilvl="5" w:tplc="38A8DC06" w:tentative="1">
      <w:start w:val="1"/>
      <w:numFmt w:val="bullet"/>
      <w:lvlText w:val="•"/>
      <w:lvlJc w:val="left"/>
      <w:pPr>
        <w:tabs>
          <w:tab w:val="num" w:pos="4320"/>
        </w:tabs>
        <w:ind w:left="4320" w:hanging="360"/>
      </w:pPr>
      <w:rPr>
        <w:rFonts w:ascii="Arial" w:hAnsi="Arial" w:hint="default"/>
      </w:rPr>
    </w:lvl>
    <w:lvl w:ilvl="6" w:tplc="83804796" w:tentative="1">
      <w:start w:val="1"/>
      <w:numFmt w:val="bullet"/>
      <w:lvlText w:val="•"/>
      <w:lvlJc w:val="left"/>
      <w:pPr>
        <w:tabs>
          <w:tab w:val="num" w:pos="5040"/>
        </w:tabs>
        <w:ind w:left="5040" w:hanging="360"/>
      </w:pPr>
      <w:rPr>
        <w:rFonts w:ascii="Arial" w:hAnsi="Arial" w:hint="default"/>
      </w:rPr>
    </w:lvl>
    <w:lvl w:ilvl="7" w:tplc="DBEA55E2" w:tentative="1">
      <w:start w:val="1"/>
      <w:numFmt w:val="bullet"/>
      <w:lvlText w:val="•"/>
      <w:lvlJc w:val="left"/>
      <w:pPr>
        <w:tabs>
          <w:tab w:val="num" w:pos="5760"/>
        </w:tabs>
        <w:ind w:left="5760" w:hanging="360"/>
      </w:pPr>
      <w:rPr>
        <w:rFonts w:ascii="Arial" w:hAnsi="Arial" w:hint="default"/>
      </w:rPr>
    </w:lvl>
    <w:lvl w:ilvl="8" w:tplc="33E65EC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96B54B0"/>
    <w:multiLevelType w:val="hybridMultilevel"/>
    <w:tmpl w:val="8E5C0B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F1D5F3E"/>
    <w:multiLevelType w:val="hybridMultilevel"/>
    <w:tmpl w:val="4BC4EE88"/>
    <w:lvl w:ilvl="0" w:tplc="5C3E2A06">
      <w:start w:val="1"/>
      <w:numFmt w:val="bullet"/>
      <w:lvlText w:val="•"/>
      <w:lvlJc w:val="left"/>
      <w:pPr>
        <w:tabs>
          <w:tab w:val="num" w:pos="720"/>
        </w:tabs>
        <w:ind w:left="720" w:hanging="360"/>
      </w:pPr>
      <w:rPr>
        <w:rFonts w:ascii="Arial" w:hAnsi="Arial" w:hint="default"/>
      </w:rPr>
    </w:lvl>
    <w:lvl w:ilvl="1" w:tplc="A3685FC0" w:tentative="1">
      <w:start w:val="1"/>
      <w:numFmt w:val="bullet"/>
      <w:lvlText w:val="•"/>
      <w:lvlJc w:val="left"/>
      <w:pPr>
        <w:tabs>
          <w:tab w:val="num" w:pos="1440"/>
        </w:tabs>
        <w:ind w:left="1440" w:hanging="360"/>
      </w:pPr>
      <w:rPr>
        <w:rFonts w:ascii="Arial" w:hAnsi="Arial" w:hint="default"/>
      </w:rPr>
    </w:lvl>
    <w:lvl w:ilvl="2" w:tplc="E1FAB4D6" w:tentative="1">
      <w:start w:val="1"/>
      <w:numFmt w:val="bullet"/>
      <w:lvlText w:val="•"/>
      <w:lvlJc w:val="left"/>
      <w:pPr>
        <w:tabs>
          <w:tab w:val="num" w:pos="2160"/>
        </w:tabs>
        <w:ind w:left="2160" w:hanging="360"/>
      </w:pPr>
      <w:rPr>
        <w:rFonts w:ascii="Arial" w:hAnsi="Arial" w:hint="default"/>
      </w:rPr>
    </w:lvl>
    <w:lvl w:ilvl="3" w:tplc="286E5FC2" w:tentative="1">
      <w:start w:val="1"/>
      <w:numFmt w:val="bullet"/>
      <w:lvlText w:val="•"/>
      <w:lvlJc w:val="left"/>
      <w:pPr>
        <w:tabs>
          <w:tab w:val="num" w:pos="2880"/>
        </w:tabs>
        <w:ind w:left="2880" w:hanging="360"/>
      </w:pPr>
      <w:rPr>
        <w:rFonts w:ascii="Arial" w:hAnsi="Arial" w:hint="default"/>
      </w:rPr>
    </w:lvl>
    <w:lvl w:ilvl="4" w:tplc="1D7A1828" w:tentative="1">
      <w:start w:val="1"/>
      <w:numFmt w:val="bullet"/>
      <w:lvlText w:val="•"/>
      <w:lvlJc w:val="left"/>
      <w:pPr>
        <w:tabs>
          <w:tab w:val="num" w:pos="3600"/>
        </w:tabs>
        <w:ind w:left="3600" w:hanging="360"/>
      </w:pPr>
      <w:rPr>
        <w:rFonts w:ascii="Arial" w:hAnsi="Arial" w:hint="default"/>
      </w:rPr>
    </w:lvl>
    <w:lvl w:ilvl="5" w:tplc="F668980A" w:tentative="1">
      <w:start w:val="1"/>
      <w:numFmt w:val="bullet"/>
      <w:lvlText w:val="•"/>
      <w:lvlJc w:val="left"/>
      <w:pPr>
        <w:tabs>
          <w:tab w:val="num" w:pos="4320"/>
        </w:tabs>
        <w:ind w:left="4320" w:hanging="360"/>
      </w:pPr>
      <w:rPr>
        <w:rFonts w:ascii="Arial" w:hAnsi="Arial" w:hint="default"/>
      </w:rPr>
    </w:lvl>
    <w:lvl w:ilvl="6" w:tplc="471448CA" w:tentative="1">
      <w:start w:val="1"/>
      <w:numFmt w:val="bullet"/>
      <w:lvlText w:val="•"/>
      <w:lvlJc w:val="left"/>
      <w:pPr>
        <w:tabs>
          <w:tab w:val="num" w:pos="5040"/>
        </w:tabs>
        <w:ind w:left="5040" w:hanging="360"/>
      </w:pPr>
      <w:rPr>
        <w:rFonts w:ascii="Arial" w:hAnsi="Arial" w:hint="default"/>
      </w:rPr>
    </w:lvl>
    <w:lvl w:ilvl="7" w:tplc="C9EE50B0" w:tentative="1">
      <w:start w:val="1"/>
      <w:numFmt w:val="bullet"/>
      <w:lvlText w:val="•"/>
      <w:lvlJc w:val="left"/>
      <w:pPr>
        <w:tabs>
          <w:tab w:val="num" w:pos="5760"/>
        </w:tabs>
        <w:ind w:left="5760" w:hanging="360"/>
      </w:pPr>
      <w:rPr>
        <w:rFonts w:ascii="Arial" w:hAnsi="Arial" w:hint="default"/>
      </w:rPr>
    </w:lvl>
    <w:lvl w:ilvl="8" w:tplc="BF5A8E48"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28"/>
  </w:num>
  <w:num w:numId="3">
    <w:abstractNumId w:val="9"/>
  </w:num>
  <w:num w:numId="4">
    <w:abstractNumId w:val="25"/>
  </w:num>
  <w:num w:numId="5">
    <w:abstractNumId w:val="22"/>
  </w:num>
  <w:num w:numId="6">
    <w:abstractNumId w:val="23"/>
  </w:num>
  <w:num w:numId="7">
    <w:abstractNumId w:val="13"/>
  </w:num>
  <w:num w:numId="8">
    <w:abstractNumId w:val="15"/>
  </w:num>
  <w:num w:numId="9">
    <w:abstractNumId w:val="8"/>
  </w:num>
  <w:num w:numId="10">
    <w:abstractNumId w:val="3"/>
  </w:num>
  <w:num w:numId="11">
    <w:abstractNumId w:val="21"/>
  </w:num>
  <w:num w:numId="12">
    <w:abstractNumId w:val="6"/>
  </w:num>
  <w:num w:numId="13">
    <w:abstractNumId w:val="29"/>
  </w:num>
  <w:num w:numId="14">
    <w:abstractNumId w:val="24"/>
  </w:num>
  <w:num w:numId="15">
    <w:abstractNumId w:val="2"/>
  </w:num>
  <w:num w:numId="16">
    <w:abstractNumId w:val="1"/>
  </w:num>
  <w:num w:numId="17">
    <w:abstractNumId w:val="10"/>
  </w:num>
  <w:num w:numId="18">
    <w:abstractNumId w:val="0"/>
  </w:num>
  <w:num w:numId="19">
    <w:abstractNumId w:val="11"/>
  </w:num>
  <w:num w:numId="20">
    <w:abstractNumId w:val="18"/>
  </w:num>
  <w:num w:numId="21">
    <w:abstractNumId w:val="4"/>
  </w:num>
  <w:num w:numId="22">
    <w:abstractNumId w:val="17"/>
  </w:num>
  <w:num w:numId="23">
    <w:abstractNumId w:val="14"/>
  </w:num>
  <w:num w:numId="24">
    <w:abstractNumId w:val="16"/>
  </w:num>
  <w:num w:numId="25">
    <w:abstractNumId w:val="20"/>
  </w:num>
  <w:num w:numId="26">
    <w:abstractNumId w:val="19"/>
  </w:num>
  <w:num w:numId="27">
    <w:abstractNumId w:val="12"/>
  </w:num>
  <w:num w:numId="28">
    <w:abstractNumId w:val="7"/>
  </w:num>
  <w:num w:numId="29">
    <w:abstractNumId w:val="26"/>
  </w:num>
  <w:num w:numId="30">
    <w:abstractNumId w:val="30"/>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31D"/>
    <w:rsid w:val="00055973"/>
    <w:rsid w:val="00061A50"/>
    <w:rsid w:val="00065A52"/>
    <w:rsid w:val="000A0F68"/>
    <w:rsid w:val="000C2574"/>
    <w:rsid w:val="0016385E"/>
    <w:rsid w:val="00193CD2"/>
    <w:rsid w:val="001B6E7B"/>
    <w:rsid w:val="001D362F"/>
    <w:rsid w:val="001E6496"/>
    <w:rsid w:val="00255C41"/>
    <w:rsid w:val="00297C14"/>
    <w:rsid w:val="002F7C9F"/>
    <w:rsid w:val="00354ECC"/>
    <w:rsid w:val="00361592"/>
    <w:rsid w:val="003E22B1"/>
    <w:rsid w:val="00415DEE"/>
    <w:rsid w:val="00441D9D"/>
    <w:rsid w:val="004F280C"/>
    <w:rsid w:val="00544E1C"/>
    <w:rsid w:val="00552BAE"/>
    <w:rsid w:val="005D24CB"/>
    <w:rsid w:val="005E5D13"/>
    <w:rsid w:val="006247AA"/>
    <w:rsid w:val="00647F20"/>
    <w:rsid w:val="00654441"/>
    <w:rsid w:val="0067094D"/>
    <w:rsid w:val="00693F25"/>
    <w:rsid w:val="006C0708"/>
    <w:rsid w:val="006D0E38"/>
    <w:rsid w:val="006D6308"/>
    <w:rsid w:val="00706187"/>
    <w:rsid w:val="00724ADA"/>
    <w:rsid w:val="0073052E"/>
    <w:rsid w:val="00743186"/>
    <w:rsid w:val="00770A17"/>
    <w:rsid w:val="00795467"/>
    <w:rsid w:val="007B2564"/>
    <w:rsid w:val="00841F03"/>
    <w:rsid w:val="008A7339"/>
    <w:rsid w:val="008B7276"/>
    <w:rsid w:val="008C37DD"/>
    <w:rsid w:val="009B5846"/>
    <w:rsid w:val="009B6AA9"/>
    <w:rsid w:val="009C179A"/>
    <w:rsid w:val="009D10C2"/>
    <w:rsid w:val="009D3B4C"/>
    <w:rsid w:val="009E53B8"/>
    <w:rsid w:val="00A16E50"/>
    <w:rsid w:val="00B50E85"/>
    <w:rsid w:val="00B76DE6"/>
    <w:rsid w:val="00B827DD"/>
    <w:rsid w:val="00BF4FE8"/>
    <w:rsid w:val="00C477E8"/>
    <w:rsid w:val="00C80C9D"/>
    <w:rsid w:val="00C83EF0"/>
    <w:rsid w:val="00CA3C1C"/>
    <w:rsid w:val="00D36AA4"/>
    <w:rsid w:val="00D36B5B"/>
    <w:rsid w:val="00D629C4"/>
    <w:rsid w:val="00D6372E"/>
    <w:rsid w:val="00DC632F"/>
    <w:rsid w:val="00DE4191"/>
    <w:rsid w:val="00E0231D"/>
    <w:rsid w:val="00F34896"/>
    <w:rsid w:val="00FE4D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32C5B"/>
  <w15:chartTrackingRefBased/>
  <w15:docId w15:val="{BC1B6FAB-E8DD-430C-A8A6-B3E4B625D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0C25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0C25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255C41"/>
    <w:pPr>
      <w:keepNext/>
      <w:keepLines/>
      <w:spacing w:before="40" w:after="0" w:line="240" w:lineRule="auto"/>
      <w:outlineLvl w:val="2"/>
    </w:pPr>
    <w:rPr>
      <w:rFonts w:asciiTheme="majorHAnsi" w:eastAsiaTheme="majorEastAsia" w:hAnsiTheme="majorHAnsi" w:cstheme="majorBidi"/>
      <w:b/>
      <w:color w:val="1F3763" w:themeColor="accent1" w:themeShade="7F"/>
      <w:sz w:val="26"/>
      <w:szCs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6385E"/>
    <w:pPr>
      <w:ind w:left="720"/>
      <w:contextualSpacing/>
    </w:pPr>
  </w:style>
  <w:style w:type="character" w:customStyle="1" w:styleId="Kop3Char">
    <w:name w:val="Kop 3 Char"/>
    <w:basedOn w:val="Standaardalinea-lettertype"/>
    <w:link w:val="Kop3"/>
    <w:uiPriority w:val="9"/>
    <w:rsid w:val="00255C41"/>
    <w:rPr>
      <w:rFonts w:asciiTheme="majorHAnsi" w:eastAsiaTheme="majorEastAsia" w:hAnsiTheme="majorHAnsi" w:cstheme="majorBidi"/>
      <w:b/>
      <w:color w:val="1F3763" w:themeColor="accent1" w:themeShade="7F"/>
      <w:sz w:val="26"/>
      <w:szCs w:val="24"/>
    </w:rPr>
  </w:style>
  <w:style w:type="paragraph" w:styleId="Koptekst">
    <w:name w:val="header"/>
    <w:basedOn w:val="Standaard"/>
    <w:link w:val="KoptekstChar"/>
    <w:uiPriority w:val="99"/>
    <w:unhideWhenUsed/>
    <w:rsid w:val="00647F2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7F20"/>
    <w:rPr>
      <w:lang w:val="en-GB"/>
    </w:rPr>
  </w:style>
  <w:style w:type="paragraph" w:styleId="Voettekst">
    <w:name w:val="footer"/>
    <w:basedOn w:val="Standaard"/>
    <w:link w:val="VoettekstChar"/>
    <w:uiPriority w:val="99"/>
    <w:unhideWhenUsed/>
    <w:rsid w:val="00647F2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7F20"/>
    <w:rPr>
      <w:lang w:val="en-GB"/>
    </w:rPr>
  </w:style>
  <w:style w:type="character" w:styleId="Hyperlink">
    <w:name w:val="Hyperlink"/>
    <w:basedOn w:val="Standaardalinea-lettertype"/>
    <w:uiPriority w:val="99"/>
    <w:unhideWhenUsed/>
    <w:rsid w:val="009D10C2"/>
    <w:rPr>
      <w:color w:val="0563C1" w:themeColor="hyperlink"/>
      <w:u w:val="single"/>
    </w:rPr>
  </w:style>
  <w:style w:type="character" w:styleId="Onopgelostemelding">
    <w:name w:val="Unresolved Mention"/>
    <w:basedOn w:val="Standaardalinea-lettertype"/>
    <w:uiPriority w:val="99"/>
    <w:semiHidden/>
    <w:unhideWhenUsed/>
    <w:rsid w:val="009D10C2"/>
    <w:rPr>
      <w:color w:val="808080"/>
      <w:shd w:val="clear" w:color="auto" w:fill="E6E6E6"/>
    </w:rPr>
  </w:style>
  <w:style w:type="character" w:customStyle="1" w:styleId="Kop1Char">
    <w:name w:val="Kop 1 Char"/>
    <w:basedOn w:val="Standaardalinea-lettertype"/>
    <w:link w:val="Kop1"/>
    <w:uiPriority w:val="9"/>
    <w:rsid w:val="000C2574"/>
    <w:rPr>
      <w:rFonts w:asciiTheme="majorHAnsi" w:eastAsiaTheme="majorEastAsia" w:hAnsiTheme="majorHAnsi" w:cstheme="majorBidi"/>
      <w:color w:val="2F5496" w:themeColor="accent1" w:themeShade="BF"/>
      <w:sz w:val="32"/>
      <w:szCs w:val="32"/>
      <w:lang w:val="en-GB"/>
    </w:rPr>
  </w:style>
  <w:style w:type="character" w:customStyle="1" w:styleId="Kop2Char">
    <w:name w:val="Kop 2 Char"/>
    <w:basedOn w:val="Standaardalinea-lettertype"/>
    <w:link w:val="Kop2"/>
    <w:uiPriority w:val="9"/>
    <w:semiHidden/>
    <w:rsid w:val="000C2574"/>
    <w:rPr>
      <w:rFonts w:asciiTheme="majorHAnsi" w:eastAsiaTheme="majorEastAsia" w:hAnsiTheme="majorHAnsi" w:cstheme="majorBidi"/>
      <w:color w:val="2F5496" w:themeColor="accent1" w:themeShade="BF"/>
      <w:sz w:val="26"/>
      <w:szCs w:val="26"/>
      <w:lang w:val="en-GB"/>
    </w:rPr>
  </w:style>
  <w:style w:type="paragraph" w:customStyle="1" w:styleId="Default">
    <w:name w:val="Default"/>
    <w:rsid w:val="00D36B5B"/>
    <w:pPr>
      <w:autoSpaceDE w:val="0"/>
      <w:autoSpaceDN w:val="0"/>
      <w:adjustRightInd w:val="0"/>
      <w:spacing w:after="0" w:line="240" w:lineRule="auto"/>
    </w:pPr>
    <w:rPr>
      <w:rFonts w:ascii="Calibri" w:hAnsi="Calibri" w:cs="Calibri"/>
      <w:color w:val="000000"/>
      <w:sz w:val="24"/>
      <w:szCs w:val="24"/>
    </w:rPr>
  </w:style>
  <w:style w:type="paragraph" w:styleId="Titel">
    <w:name w:val="Title"/>
    <w:basedOn w:val="Standaard"/>
    <w:next w:val="Standaard"/>
    <w:link w:val="TitelChar"/>
    <w:uiPriority w:val="10"/>
    <w:qFormat/>
    <w:rsid w:val="001E649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6496"/>
    <w:rPr>
      <w:rFonts w:asciiTheme="majorHAnsi" w:eastAsiaTheme="majorEastAsia" w:hAnsiTheme="majorHAnsi" w:cstheme="majorBidi"/>
      <w:spacing w:val="-10"/>
      <w:kern w:val="28"/>
      <w:sz w:val="56"/>
      <w:szCs w:val="56"/>
      <w:lang w:val="en-GB"/>
    </w:rPr>
  </w:style>
  <w:style w:type="paragraph" w:styleId="Ondertitel">
    <w:name w:val="Subtitle"/>
    <w:basedOn w:val="Standaard"/>
    <w:next w:val="Standaard"/>
    <w:link w:val="OndertitelChar"/>
    <w:uiPriority w:val="11"/>
    <w:qFormat/>
    <w:rsid w:val="001E6496"/>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1E6496"/>
    <w:rPr>
      <w:rFonts w:eastAsiaTheme="minorEastAsia"/>
      <w:color w:val="5A5A5A" w:themeColor="text1" w:themeTint="A5"/>
      <w:spacing w:val="15"/>
      <w:lang w:val="en-GB"/>
    </w:rPr>
  </w:style>
  <w:style w:type="table" w:styleId="Tabelraster">
    <w:name w:val="Table Grid"/>
    <w:basedOn w:val="Standaardtabel"/>
    <w:uiPriority w:val="39"/>
    <w:rsid w:val="00544E1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29613">
      <w:bodyDiv w:val="1"/>
      <w:marLeft w:val="0"/>
      <w:marRight w:val="0"/>
      <w:marTop w:val="0"/>
      <w:marBottom w:val="0"/>
      <w:divBdr>
        <w:top w:val="none" w:sz="0" w:space="0" w:color="auto"/>
        <w:left w:val="none" w:sz="0" w:space="0" w:color="auto"/>
        <w:bottom w:val="none" w:sz="0" w:space="0" w:color="auto"/>
        <w:right w:val="none" w:sz="0" w:space="0" w:color="auto"/>
      </w:divBdr>
      <w:divsChild>
        <w:div w:id="265233320">
          <w:marLeft w:val="547"/>
          <w:marRight w:val="0"/>
          <w:marTop w:val="154"/>
          <w:marBottom w:val="0"/>
          <w:divBdr>
            <w:top w:val="none" w:sz="0" w:space="0" w:color="auto"/>
            <w:left w:val="none" w:sz="0" w:space="0" w:color="auto"/>
            <w:bottom w:val="none" w:sz="0" w:space="0" w:color="auto"/>
            <w:right w:val="none" w:sz="0" w:space="0" w:color="auto"/>
          </w:divBdr>
        </w:div>
        <w:div w:id="2134984079">
          <w:marLeft w:val="547"/>
          <w:marRight w:val="0"/>
          <w:marTop w:val="154"/>
          <w:marBottom w:val="0"/>
          <w:divBdr>
            <w:top w:val="none" w:sz="0" w:space="0" w:color="auto"/>
            <w:left w:val="none" w:sz="0" w:space="0" w:color="auto"/>
            <w:bottom w:val="none" w:sz="0" w:space="0" w:color="auto"/>
            <w:right w:val="none" w:sz="0" w:space="0" w:color="auto"/>
          </w:divBdr>
        </w:div>
        <w:div w:id="290987643">
          <w:marLeft w:val="547"/>
          <w:marRight w:val="0"/>
          <w:marTop w:val="154"/>
          <w:marBottom w:val="0"/>
          <w:divBdr>
            <w:top w:val="none" w:sz="0" w:space="0" w:color="auto"/>
            <w:left w:val="none" w:sz="0" w:space="0" w:color="auto"/>
            <w:bottom w:val="none" w:sz="0" w:space="0" w:color="auto"/>
            <w:right w:val="none" w:sz="0" w:space="0" w:color="auto"/>
          </w:divBdr>
        </w:div>
        <w:div w:id="158545900">
          <w:marLeft w:val="547"/>
          <w:marRight w:val="0"/>
          <w:marTop w:val="154"/>
          <w:marBottom w:val="0"/>
          <w:divBdr>
            <w:top w:val="none" w:sz="0" w:space="0" w:color="auto"/>
            <w:left w:val="none" w:sz="0" w:space="0" w:color="auto"/>
            <w:bottom w:val="none" w:sz="0" w:space="0" w:color="auto"/>
            <w:right w:val="none" w:sz="0" w:space="0" w:color="auto"/>
          </w:divBdr>
        </w:div>
      </w:divsChild>
    </w:div>
    <w:div w:id="175854460">
      <w:bodyDiv w:val="1"/>
      <w:marLeft w:val="0"/>
      <w:marRight w:val="0"/>
      <w:marTop w:val="0"/>
      <w:marBottom w:val="0"/>
      <w:divBdr>
        <w:top w:val="none" w:sz="0" w:space="0" w:color="auto"/>
        <w:left w:val="none" w:sz="0" w:space="0" w:color="auto"/>
        <w:bottom w:val="none" w:sz="0" w:space="0" w:color="auto"/>
        <w:right w:val="none" w:sz="0" w:space="0" w:color="auto"/>
      </w:divBdr>
    </w:div>
    <w:div w:id="1062410517">
      <w:bodyDiv w:val="1"/>
      <w:marLeft w:val="0"/>
      <w:marRight w:val="0"/>
      <w:marTop w:val="0"/>
      <w:marBottom w:val="0"/>
      <w:divBdr>
        <w:top w:val="none" w:sz="0" w:space="0" w:color="auto"/>
        <w:left w:val="none" w:sz="0" w:space="0" w:color="auto"/>
        <w:bottom w:val="none" w:sz="0" w:space="0" w:color="auto"/>
        <w:right w:val="none" w:sz="0" w:space="0" w:color="auto"/>
      </w:divBdr>
      <w:divsChild>
        <w:div w:id="378282091">
          <w:marLeft w:val="547"/>
          <w:marRight w:val="0"/>
          <w:marTop w:val="154"/>
          <w:marBottom w:val="0"/>
          <w:divBdr>
            <w:top w:val="none" w:sz="0" w:space="0" w:color="auto"/>
            <w:left w:val="none" w:sz="0" w:space="0" w:color="auto"/>
            <w:bottom w:val="none" w:sz="0" w:space="0" w:color="auto"/>
            <w:right w:val="none" w:sz="0" w:space="0" w:color="auto"/>
          </w:divBdr>
        </w:div>
        <w:div w:id="329139196">
          <w:marLeft w:val="547"/>
          <w:marRight w:val="0"/>
          <w:marTop w:val="154"/>
          <w:marBottom w:val="0"/>
          <w:divBdr>
            <w:top w:val="none" w:sz="0" w:space="0" w:color="auto"/>
            <w:left w:val="none" w:sz="0" w:space="0" w:color="auto"/>
            <w:bottom w:val="none" w:sz="0" w:space="0" w:color="auto"/>
            <w:right w:val="none" w:sz="0" w:space="0" w:color="auto"/>
          </w:divBdr>
        </w:div>
      </w:divsChild>
    </w:div>
    <w:div w:id="1113138171">
      <w:bodyDiv w:val="1"/>
      <w:marLeft w:val="0"/>
      <w:marRight w:val="0"/>
      <w:marTop w:val="0"/>
      <w:marBottom w:val="0"/>
      <w:divBdr>
        <w:top w:val="none" w:sz="0" w:space="0" w:color="auto"/>
        <w:left w:val="none" w:sz="0" w:space="0" w:color="auto"/>
        <w:bottom w:val="none" w:sz="0" w:space="0" w:color="auto"/>
        <w:right w:val="none" w:sz="0" w:space="0" w:color="auto"/>
      </w:divBdr>
      <w:divsChild>
        <w:div w:id="427892034">
          <w:marLeft w:val="547"/>
          <w:marRight w:val="0"/>
          <w:marTop w:val="134"/>
          <w:marBottom w:val="0"/>
          <w:divBdr>
            <w:top w:val="none" w:sz="0" w:space="0" w:color="auto"/>
            <w:left w:val="none" w:sz="0" w:space="0" w:color="auto"/>
            <w:bottom w:val="none" w:sz="0" w:space="0" w:color="auto"/>
            <w:right w:val="none" w:sz="0" w:space="0" w:color="auto"/>
          </w:divBdr>
        </w:div>
        <w:div w:id="1918442985">
          <w:marLeft w:val="547"/>
          <w:marRight w:val="0"/>
          <w:marTop w:val="134"/>
          <w:marBottom w:val="0"/>
          <w:divBdr>
            <w:top w:val="none" w:sz="0" w:space="0" w:color="auto"/>
            <w:left w:val="none" w:sz="0" w:space="0" w:color="auto"/>
            <w:bottom w:val="none" w:sz="0" w:space="0" w:color="auto"/>
            <w:right w:val="none" w:sz="0" w:space="0" w:color="auto"/>
          </w:divBdr>
        </w:div>
        <w:div w:id="1624269305">
          <w:marLeft w:val="547"/>
          <w:marRight w:val="0"/>
          <w:marTop w:val="134"/>
          <w:marBottom w:val="0"/>
          <w:divBdr>
            <w:top w:val="none" w:sz="0" w:space="0" w:color="auto"/>
            <w:left w:val="none" w:sz="0" w:space="0" w:color="auto"/>
            <w:bottom w:val="none" w:sz="0" w:space="0" w:color="auto"/>
            <w:right w:val="none" w:sz="0" w:space="0" w:color="auto"/>
          </w:divBdr>
        </w:div>
      </w:divsChild>
    </w:div>
    <w:div w:id="1145665125">
      <w:bodyDiv w:val="1"/>
      <w:marLeft w:val="0"/>
      <w:marRight w:val="0"/>
      <w:marTop w:val="0"/>
      <w:marBottom w:val="0"/>
      <w:divBdr>
        <w:top w:val="none" w:sz="0" w:space="0" w:color="auto"/>
        <w:left w:val="none" w:sz="0" w:space="0" w:color="auto"/>
        <w:bottom w:val="none" w:sz="0" w:space="0" w:color="auto"/>
        <w:right w:val="none" w:sz="0" w:space="0" w:color="auto"/>
      </w:divBdr>
    </w:div>
    <w:div w:id="1660767596">
      <w:bodyDiv w:val="1"/>
      <w:marLeft w:val="0"/>
      <w:marRight w:val="0"/>
      <w:marTop w:val="0"/>
      <w:marBottom w:val="0"/>
      <w:divBdr>
        <w:top w:val="none" w:sz="0" w:space="0" w:color="auto"/>
        <w:left w:val="none" w:sz="0" w:space="0" w:color="auto"/>
        <w:bottom w:val="none" w:sz="0" w:space="0" w:color="auto"/>
        <w:right w:val="none" w:sz="0" w:space="0" w:color="auto"/>
      </w:divBdr>
      <w:divsChild>
        <w:div w:id="1183398265">
          <w:marLeft w:val="547"/>
          <w:marRight w:val="0"/>
          <w:marTop w:val="154"/>
          <w:marBottom w:val="0"/>
          <w:divBdr>
            <w:top w:val="none" w:sz="0" w:space="0" w:color="auto"/>
            <w:left w:val="none" w:sz="0" w:space="0" w:color="auto"/>
            <w:bottom w:val="none" w:sz="0" w:space="0" w:color="auto"/>
            <w:right w:val="none" w:sz="0" w:space="0" w:color="auto"/>
          </w:divBdr>
        </w:div>
        <w:div w:id="537861124">
          <w:marLeft w:val="547"/>
          <w:marRight w:val="0"/>
          <w:marTop w:val="154"/>
          <w:marBottom w:val="0"/>
          <w:divBdr>
            <w:top w:val="none" w:sz="0" w:space="0" w:color="auto"/>
            <w:left w:val="none" w:sz="0" w:space="0" w:color="auto"/>
            <w:bottom w:val="none" w:sz="0" w:space="0" w:color="auto"/>
            <w:right w:val="none" w:sz="0" w:space="0" w:color="auto"/>
          </w:divBdr>
        </w:div>
      </w:divsChild>
    </w:div>
    <w:div w:id="2066642334">
      <w:bodyDiv w:val="1"/>
      <w:marLeft w:val="0"/>
      <w:marRight w:val="0"/>
      <w:marTop w:val="0"/>
      <w:marBottom w:val="0"/>
      <w:divBdr>
        <w:top w:val="none" w:sz="0" w:space="0" w:color="auto"/>
        <w:left w:val="none" w:sz="0" w:space="0" w:color="auto"/>
        <w:bottom w:val="none" w:sz="0" w:space="0" w:color="auto"/>
        <w:right w:val="none" w:sz="0" w:space="0" w:color="auto"/>
      </w:divBdr>
      <w:divsChild>
        <w:div w:id="799616718">
          <w:marLeft w:val="547"/>
          <w:marRight w:val="0"/>
          <w:marTop w:val="154"/>
          <w:marBottom w:val="0"/>
          <w:divBdr>
            <w:top w:val="none" w:sz="0" w:space="0" w:color="auto"/>
            <w:left w:val="none" w:sz="0" w:space="0" w:color="auto"/>
            <w:bottom w:val="none" w:sz="0" w:space="0" w:color="auto"/>
            <w:right w:val="none" w:sz="0" w:space="0" w:color="auto"/>
          </w:divBdr>
        </w:div>
        <w:div w:id="1007446123">
          <w:marLeft w:val="547"/>
          <w:marRight w:val="0"/>
          <w:marTop w:val="154"/>
          <w:marBottom w:val="0"/>
          <w:divBdr>
            <w:top w:val="none" w:sz="0" w:space="0" w:color="auto"/>
            <w:left w:val="none" w:sz="0" w:space="0" w:color="auto"/>
            <w:bottom w:val="none" w:sz="0" w:space="0" w:color="auto"/>
            <w:right w:val="none" w:sz="0" w:space="0" w:color="auto"/>
          </w:divBdr>
        </w:div>
        <w:div w:id="622689042">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equent-network.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2020</Words>
  <Characters>11111</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Ubachs</dc:creator>
  <cp:keywords/>
  <dc:description/>
  <cp:lastModifiedBy>George Ubachs</cp:lastModifiedBy>
  <cp:revision>5</cp:revision>
  <dcterms:created xsi:type="dcterms:W3CDTF">2018-09-21T08:06:00Z</dcterms:created>
  <dcterms:modified xsi:type="dcterms:W3CDTF">2018-09-21T08:25:00Z</dcterms:modified>
</cp:coreProperties>
</file>