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F3268" w14:textId="77777777" w:rsidR="0061011E" w:rsidRDefault="0061011E" w:rsidP="00472DA9">
      <w:pPr>
        <w:spacing w:line="276" w:lineRule="auto"/>
        <w:rPr>
          <w:b/>
          <w:bCs/>
          <w:color w:val="000000"/>
          <w:lang w:val="en-GB"/>
        </w:rPr>
      </w:pPr>
    </w:p>
    <w:p w14:paraId="084C8232" w14:textId="77777777" w:rsidR="0061011E" w:rsidRDefault="0061011E" w:rsidP="00472DA9">
      <w:pPr>
        <w:spacing w:line="276" w:lineRule="auto"/>
        <w:rPr>
          <w:b/>
          <w:bCs/>
          <w:color w:val="000000"/>
          <w:lang w:val="en-GB"/>
        </w:rPr>
      </w:pPr>
    </w:p>
    <w:p w14:paraId="7A2B802B" w14:textId="77777777" w:rsidR="0061011E" w:rsidRDefault="0061011E" w:rsidP="00472DA9">
      <w:pPr>
        <w:spacing w:line="276" w:lineRule="auto"/>
        <w:rPr>
          <w:b/>
          <w:bCs/>
          <w:color w:val="000000"/>
          <w:lang w:val="en-GB"/>
        </w:rPr>
      </w:pPr>
      <w:r>
        <w:rPr>
          <w:b/>
          <w:bCs/>
          <w:color w:val="000000"/>
          <w:lang w:val="en-GB"/>
        </w:rPr>
        <w:t>SUMMARY</w:t>
      </w:r>
    </w:p>
    <w:p w14:paraId="71E0E0D0" w14:textId="77777777" w:rsidR="00472DA9" w:rsidRDefault="0061011E" w:rsidP="00472DA9">
      <w:pPr>
        <w:spacing w:line="276" w:lineRule="auto"/>
        <w:rPr>
          <w:b/>
          <w:bCs/>
          <w:color w:val="000000"/>
          <w:lang w:val="en-GB"/>
        </w:rPr>
      </w:pPr>
      <w:r>
        <w:rPr>
          <w:b/>
          <w:bCs/>
          <w:color w:val="000000"/>
          <w:lang w:val="en-GB"/>
        </w:rPr>
        <w:t>EMC-Labour Market application under knowledge alliances</w:t>
      </w:r>
    </w:p>
    <w:p w14:paraId="5B1D7AAE" w14:textId="77777777" w:rsidR="00472DA9" w:rsidRDefault="00472DA9" w:rsidP="00472DA9">
      <w:pPr>
        <w:spacing w:line="276" w:lineRule="auto"/>
        <w:rPr>
          <w:color w:val="000000"/>
          <w:lang w:val="en-GB"/>
        </w:rPr>
      </w:pPr>
    </w:p>
    <w:p w14:paraId="14F84D70" w14:textId="77777777" w:rsidR="00472DA9" w:rsidRDefault="00472DA9" w:rsidP="00EF3AEA">
      <w:pPr>
        <w:spacing w:line="276" w:lineRule="auto"/>
        <w:rPr>
          <w:color w:val="000000"/>
          <w:lang w:val="en-GB" w:eastAsia="fr-BE"/>
        </w:rPr>
      </w:pPr>
      <w:r>
        <w:rPr>
          <w:color w:val="000000"/>
          <w:lang w:val="en-GB"/>
        </w:rPr>
        <w:t>MOOCs and digital continuous education/training</w:t>
      </w:r>
      <w:r>
        <w:rPr>
          <w:color w:val="000000"/>
          <w:u w:val="single"/>
          <w:lang w:val="en-GB"/>
        </w:rPr>
        <w:t xml:space="preserve"> </w:t>
      </w:r>
      <w:r>
        <w:rPr>
          <w:lang w:val="en-GB"/>
        </w:rPr>
        <w:t>are a flexible and scalable solution for a transnational, truly European response to the needs of the economy across Europe.</w:t>
      </w:r>
      <w:r>
        <w:rPr>
          <w:color w:val="000000"/>
          <w:lang w:val="en-GB"/>
        </w:rPr>
        <w:t xml:space="preserve"> They can keep innovative knowledge and skills of the workforce up to date and anticipate on careers of tomorrow. </w:t>
      </w:r>
    </w:p>
    <w:p w14:paraId="14BF8E91" w14:textId="77777777" w:rsidR="00472DA9" w:rsidRDefault="00472DA9" w:rsidP="00EF3AEA">
      <w:pPr>
        <w:spacing w:line="276" w:lineRule="auto"/>
        <w:rPr>
          <w:lang w:val="en-GB"/>
        </w:rPr>
      </w:pPr>
      <w:r>
        <w:rPr>
          <w:lang w:val="en-GB"/>
        </w:rPr>
        <w:t xml:space="preserve">MOOC platforms in the European MOOCs Consortium (EMC) look for solutions to reach more structurally the labour market. In this knowledge alliance, they opt for a structural collaboration with public employment services (PES) active on the national labour markets, with companies and with a sectoral organisation for companies and SME’s.  This structural approach to MOOCs and digital continuous education and training will enhance the competitiveness of the European economy. </w:t>
      </w:r>
    </w:p>
    <w:p w14:paraId="13CD1217" w14:textId="77777777" w:rsidR="00472DA9" w:rsidRDefault="00472DA9" w:rsidP="00EF3AEA">
      <w:pPr>
        <w:pStyle w:val="Normaalweb"/>
        <w:spacing w:before="0" w:beforeAutospacing="0" w:after="0" w:afterAutospacing="0" w:line="276" w:lineRule="auto"/>
        <w:rPr>
          <w:lang w:val="en-GB"/>
        </w:rPr>
      </w:pPr>
      <w:r>
        <w:rPr>
          <w:lang w:val="en-GB"/>
        </w:rPr>
        <w:t xml:space="preserve">The alliance is anchored both in the world of work (PES, companies, sectoral organisation) and in the world of education and training (universities, platforms). It will show which role MOOC platforms, universities and employment services </w:t>
      </w:r>
      <w:r w:rsidR="00EF3AEA">
        <w:rPr>
          <w:lang w:val="en-GB"/>
        </w:rPr>
        <w:t>jointly</w:t>
      </w:r>
      <w:r>
        <w:rPr>
          <w:lang w:val="en-GB"/>
        </w:rPr>
        <w:t xml:space="preserve"> can play on the labour market and how MOOCs can be integrated in HR policies and in in-company training. </w:t>
      </w:r>
    </w:p>
    <w:p w14:paraId="3D3BC5C9" w14:textId="77777777" w:rsidR="00472DA9" w:rsidRDefault="00472DA9" w:rsidP="00EF3AEA">
      <w:pPr>
        <w:pStyle w:val="Normaalweb"/>
        <w:spacing w:before="0" w:beforeAutospacing="0" w:after="0" w:afterAutospacing="0" w:line="276" w:lineRule="auto"/>
        <w:rPr>
          <w:lang w:val="en-GB"/>
        </w:rPr>
      </w:pPr>
      <w:r>
        <w:rPr>
          <w:lang w:val="en-GB"/>
        </w:rPr>
        <w:t>PES and companies are not only there as mediators between MOOC platforms and individual learners, but also as allies in the (co-)development and (co-) delivery of MOOCs and digital continuous education and training (CE, CT).</w:t>
      </w:r>
    </w:p>
    <w:p w14:paraId="391F8A29" w14:textId="77777777" w:rsidR="00472DA9" w:rsidRDefault="00472DA9" w:rsidP="00EF3AEA">
      <w:pPr>
        <w:pStyle w:val="Normaalweb"/>
        <w:spacing w:before="0" w:beforeAutospacing="0" w:after="0" w:afterAutospacing="0" w:line="276" w:lineRule="auto"/>
        <w:rPr>
          <w:lang w:val="en-GB"/>
        </w:rPr>
      </w:pPr>
      <w:r>
        <w:rPr>
          <w:lang w:val="en-GB"/>
        </w:rPr>
        <w:t>The main purpose of the alliance is to</w:t>
      </w:r>
      <w:r>
        <w:rPr>
          <w:color w:val="000000"/>
          <w:lang w:val="en-GB"/>
        </w:rPr>
        <w:t xml:space="preserve"> strengthen the partners in the knowledge alliance by sharing experience and expertise on MOOCs and digital CE and CT; to create a framework for structural collaboration on the development, delivery and use of MOOCs, meeting the needs of the EU labour </w:t>
      </w:r>
      <w:r w:rsidR="00EF3AEA">
        <w:rPr>
          <w:color w:val="000000"/>
          <w:lang w:val="en-GB"/>
        </w:rPr>
        <w:t>market; and</w:t>
      </w:r>
      <w:r>
        <w:rPr>
          <w:color w:val="000000"/>
          <w:lang w:val="en-GB"/>
        </w:rPr>
        <w:t xml:space="preserve"> to implement a responsive and large-scale outreach to the EU labour market. </w:t>
      </w:r>
      <w:r w:rsidR="00EF3AEA">
        <w:rPr>
          <w:lang w:val="en-GB"/>
        </w:rPr>
        <w:t>It develops</w:t>
      </w:r>
      <w:r>
        <w:rPr>
          <w:lang w:val="en-GB"/>
        </w:rPr>
        <w:t xml:space="preserve"> new approaches to education and training and facilitates the exchange and flow of knowledge, strengthening Europe's innovation capacity. The visibility and </w:t>
      </w:r>
      <w:r w:rsidR="00EF3AEA">
        <w:rPr>
          <w:lang w:val="en-GB"/>
        </w:rPr>
        <w:t>accessibility</w:t>
      </w:r>
      <w:r>
        <w:rPr>
          <w:lang w:val="en-GB"/>
        </w:rPr>
        <w:t xml:space="preserve"> of MOOCs for CE/CT will be increased by a joint portal for the EU labour market, surveys and a marketing plan. </w:t>
      </w:r>
    </w:p>
    <w:p w14:paraId="0A040E14" w14:textId="77777777" w:rsidR="00472DA9" w:rsidRDefault="00472DA9" w:rsidP="00EF3AEA">
      <w:pPr>
        <w:pStyle w:val="Normaalweb"/>
        <w:spacing w:before="0" w:beforeAutospacing="0" w:after="0" w:afterAutospacing="0" w:line="276" w:lineRule="auto"/>
        <w:rPr>
          <w:lang w:val="en-GB"/>
        </w:rPr>
      </w:pPr>
      <w:r>
        <w:rPr>
          <w:lang w:val="en-GB"/>
        </w:rPr>
        <w:t xml:space="preserve">Last, but not least, EMC-LM will contribute to regional, national and European policies for education and </w:t>
      </w:r>
      <w:r w:rsidR="00EF3AEA">
        <w:rPr>
          <w:lang w:val="en-GB"/>
        </w:rPr>
        <w:t>training, employment</w:t>
      </w:r>
      <w:r>
        <w:rPr>
          <w:lang w:val="en-GB"/>
        </w:rPr>
        <w:t xml:space="preserve"> and growth proposing </w:t>
      </w:r>
      <w:r w:rsidR="00EF3AEA">
        <w:rPr>
          <w:lang w:val="en-GB"/>
        </w:rPr>
        <w:t>strategies</w:t>
      </w:r>
      <w:r>
        <w:rPr>
          <w:lang w:val="en-GB"/>
        </w:rPr>
        <w:t xml:space="preserve"> for change and action plans. By doing this, it contributes to the Modernisation Agenda and the Digital Education Plan. </w:t>
      </w:r>
    </w:p>
    <w:p w14:paraId="589CDE2B" w14:textId="77777777" w:rsidR="00472DA9" w:rsidRDefault="00472DA9" w:rsidP="00472DA9">
      <w:pPr>
        <w:pStyle w:val="Normaalweb"/>
        <w:spacing w:before="0" w:beforeAutospacing="0" w:after="0" w:afterAutospacing="0" w:line="276" w:lineRule="auto"/>
        <w:rPr>
          <w:color w:val="000000"/>
          <w:lang w:val="en-GB"/>
        </w:rPr>
      </w:pPr>
    </w:p>
    <w:p w14:paraId="15040DB6" w14:textId="77777777" w:rsidR="00472DA9" w:rsidRDefault="00472DA9" w:rsidP="00472DA9">
      <w:pPr>
        <w:rPr>
          <w:b/>
          <w:bCs/>
          <w:lang w:val="en-GB"/>
        </w:rPr>
      </w:pPr>
    </w:p>
    <w:p w14:paraId="578EBCC8" w14:textId="77777777" w:rsidR="00472DA9" w:rsidRDefault="00472DA9" w:rsidP="00472DA9">
      <w:pPr>
        <w:rPr>
          <w:b/>
          <w:bCs/>
          <w:lang w:val="en-GB"/>
        </w:rPr>
      </w:pPr>
      <w:r>
        <w:rPr>
          <w:b/>
          <w:bCs/>
          <w:lang w:val="en-GB"/>
        </w:rPr>
        <w:t>Partnership:</w:t>
      </w:r>
    </w:p>
    <w:p w14:paraId="19ED314E" w14:textId="77777777" w:rsidR="00472DA9" w:rsidRPr="00B70173" w:rsidRDefault="00472DA9" w:rsidP="00472DA9">
      <w:pPr>
        <w:rPr>
          <w:b/>
          <w:lang w:val="en-GB"/>
        </w:rPr>
      </w:pPr>
      <w:r w:rsidRPr="00B70173">
        <w:rPr>
          <w:b/>
          <w:lang w:val="en-GB"/>
        </w:rPr>
        <w:t>P(1) EADTU (</w:t>
      </w:r>
      <w:proofErr w:type="spellStart"/>
      <w:r w:rsidRPr="00B70173">
        <w:rPr>
          <w:b/>
          <w:lang w:val="en-GB"/>
        </w:rPr>
        <w:t>OpenupEd</w:t>
      </w:r>
      <w:proofErr w:type="spellEnd"/>
      <w:r w:rsidRPr="00B70173">
        <w:rPr>
          <w:b/>
          <w:lang w:val="en-GB"/>
        </w:rPr>
        <w:t>)</w:t>
      </w:r>
    </w:p>
    <w:p w14:paraId="3B893F59" w14:textId="77777777" w:rsidR="00472DA9" w:rsidRPr="00B70173" w:rsidRDefault="00472DA9" w:rsidP="00472DA9">
      <w:pPr>
        <w:rPr>
          <w:b/>
          <w:lang w:val="en-GB"/>
        </w:rPr>
      </w:pPr>
      <w:r w:rsidRPr="00B70173">
        <w:rPr>
          <w:b/>
          <w:lang w:val="en-GB"/>
        </w:rPr>
        <w:t xml:space="preserve">P(2) </w:t>
      </w:r>
      <w:proofErr w:type="spellStart"/>
      <w:r w:rsidRPr="00B70173">
        <w:rPr>
          <w:b/>
          <w:lang w:val="en-GB"/>
        </w:rPr>
        <w:t>FutureLearn</w:t>
      </w:r>
      <w:proofErr w:type="spellEnd"/>
    </w:p>
    <w:p w14:paraId="1B501426" w14:textId="77777777" w:rsidR="00472DA9" w:rsidRPr="00B70173" w:rsidRDefault="00472DA9" w:rsidP="00472DA9">
      <w:pPr>
        <w:rPr>
          <w:b/>
          <w:lang w:val="en-GB"/>
        </w:rPr>
      </w:pPr>
      <w:r w:rsidRPr="00B70173">
        <w:rPr>
          <w:b/>
          <w:lang w:val="en-GB"/>
        </w:rPr>
        <w:t xml:space="preserve">P(3) GIP FUN-MOOC </w:t>
      </w:r>
    </w:p>
    <w:p w14:paraId="6A21AEF9" w14:textId="77777777" w:rsidR="00472DA9" w:rsidRPr="00B70173" w:rsidRDefault="00472DA9" w:rsidP="00472DA9">
      <w:pPr>
        <w:rPr>
          <w:b/>
          <w:lang w:val="en-GB"/>
        </w:rPr>
      </w:pPr>
      <w:r w:rsidRPr="00B70173">
        <w:rPr>
          <w:b/>
          <w:lang w:val="en-GB"/>
        </w:rPr>
        <w:t>P(4) TED (</w:t>
      </w:r>
      <w:proofErr w:type="spellStart"/>
      <w:r w:rsidRPr="00B70173">
        <w:rPr>
          <w:b/>
          <w:lang w:val="en-GB"/>
        </w:rPr>
        <w:t>MiriadaX</w:t>
      </w:r>
      <w:proofErr w:type="spellEnd"/>
      <w:r w:rsidRPr="00B70173">
        <w:rPr>
          <w:b/>
          <w:lang w:val="en-GB"/>
        </w:rPr>
        <w:t xml:space="preserve"> )</w:t>
      </w:r>
    </w:p>
    <w:p w14:paraId="29427700" w14:textId="77777777" w:rsidR="00472DA9" w:rsidRPr="00B70173" w:rsidRDefault="00472DA9" w:rsidP="00472DA9">
      <w:pPr>
        <w:rPr>
          <w:b/>
          <w:lang w:val="en-GB"/>
        </w:rPr>
      </w:pPr>
      <w:r w:rsidRPr="00B70173">
        <w:rPr>
          <w:b/>
          <w:lang w:val="en-GB"/>
        </w:rPr>
        <w:t>P(5) University of Foggia (</w:t>
      </w:r>
      <w:proofErr w:type="spellStart"/>
      <w:r w:rsidRPr="00B70173">
        <w:rPr>
          <w:b/>
          <w:lang w:val="en-GB"/>
        </w:rPr>
        <w:t>EduOpen</w:t>
      </w:r>
      <w:proofErr w:type="spellEnd"/>
      <w:r w:rsidRPr="00B70173">
        <w:rPr>
          <w:b/>
          <w:lang w:val="en-GB"/>
        </w:rPr>
        <w:t>)</w:t>
      </w:r>
    </w:p>
    <w:p w14:paraId="75DC0E18" w14:textId="77777777" w:rsidR="00472DA9" w:rsidRPr="00B70173" w:rsidRDefault="00472DA9" w:rsidP="00472DA9">
      <w:pPr>
        <w:rPr>
          <w:b/>
          <w:lang w:val="en-GB"/>
        </w:rPr>
      </w:pPr>
      <w:r w:rsidRPr="00B70173">
        <w:rPr>
          <w:b/>
          <w:lang w:val="en-GB"/>
        </w:rPr>
        <w:t>P(6) The Open University</w:t>
      </w:r>
    </w:p>
    <w:p w14:paraId="1615996B" w14:textId="77777777" w:rsidR="00472DA9" w:rsidRPr="00B70173" w:rsidRDefault="00472DA9" w:rsidP="00472DA9">
      <w:pPr>
        <w:rPr>
          <w:b/>
          <w:lang w:val="en-GB"/>
        </w:rPr>
      </w:pPr>
      <w:r w:rsidRPr="00B70173">
        <w:rPr>
          <w:b/>
          <w:lang w:val="en-GB"/>
        </w:rPr>
        <w:t>P(7) VDAB</w:t>
      </w:r>
    </w:p>
    <w:p w14:paraId="55AB6A86" w14:textId="77777777" w:rsidR="00472DA9" w:rsidRPr="00B70173" w:rsidRDefault="00472DA9" w:rsidP="00472DA9">
      <w:pPr>
        <w:rPr>
          <w:b/>
          <w:lang w:val="en-GB"/>
        </w:rPr>
      </w:pPr>
      <w:r w:rsidRPr="00B70173">
        <w:rPr>
          <w:b/>
          <w:lang w:val="en-GB"/>
        </w:rPr>
        <w:t>P(8) ANPAL</w:t>
      </w:r>
    </w:p>
    <w:p w14:paraId="2C22698D" w14:textId="77777777" w:rsidR="00472DA9" w:rsidRPr="00B70173" w:rsidRDefault="00472DA9" w:rsidP="00472DA9">
      <w:pPr>
        <w:rPr>
          <w:b/>
          <w:lang w:val="en-GB"/>
        </w:rPr>
      </w:pPr>
      <w:r w:rsidRPr="00B70173">
        <w:rPr>
          <w:b/>
          <w:lang w:val="en-GB"/>
        </w:rPr>
        <w:t>P(9) OPCALIM</w:t>
      </w:r>
    </w:p>
    <w:p w14:paraId="3F381C04" w14:textId="77777777" w:rsidR="00472DA9" w:rsidRPr="00EF3AEA" w:rsidRDefault="00472DA9" w:rsidP="00472DA9">
      <w:pPr>
        <w:rPr>
          <w:color w:val="0070C0"/>
          <w:lang w:val="en-GB"/>
        </w:rPr>
      </w:pPr>
    </w:p>
    <w:p w14:paraId="66979E77" w14:textId="77777777" w:rsidR="00472DA9" w:rsidRDefault="00472DA9" w:rsidP="00472DA9">
      <w:pPr>
        <w:rPr>
          <w:b/>
          <w:bCs/>
          <w:lang w:val="en-GB"/>
        </w:rPr>
      </w:pPr>
    </w:p>
    <w:p w14:paraId="61A73357" w14:textId="77777777" w:rsidR="00472DA9" w:rsidRDefault="00472DA9" w:rsidP="00472DA9">
      <w:pPr>
        <w:rPr>
          <w:b/>
          <w:bCs/>
          <w:lang w:val="en-GB"/>
        </w:rPr>
      </w:pPr>
    </w:p>
    <w:p w14:paraId="666970F6" w14:textId="77777777" w:rsidR="00472DA9" w:rsidRDefault="00472DA9" w:rsidP="00472DA9">
      <w:pPr>
        <w:rPr>
          <w:b/>
          <w:bCs/>
          <w:lang w:val="en-GB"/>
        </w:rPr>
      </w:pPr>
    </w:p>
    <w:p w14:paraId="761F7DD5" w14:textId="77777777" w:rsidR="00472DA9" w:rsidRDefault="00472DA9" w:rsidP="00472DA9">
      <w:pPr>
        <w:rPr>
          <w:b/>
          <w:bCs/>
          <w:lang w:val="en-GB"/>
        </w:rPr>
      </w:pPr>
    </w:p>
    <w:p w14:paraId="312B46DF" w14:textId="77777777" w:rsidR="00472DA9" w:rsidRDefault="00472DA9" w:rsidP="00472DA9">
      <w:pPr>
        <w:rPr>
          <w:b/>
          <w:bCs/>
          <w:lang w:val="en-GB"/>
        </w:rPr>
      </w:pPr>
    </w:p>
    <w:p w14:paraId="144F46D1" w14:textId="77777777" w:rsidR="00B70173" w:rsidRDefault="00B70173" w:rsidP="00472DA9">
      <w:pPr>
        <w:rPr>
          <w:b/>
          <w:bCs/>
          <w:lang w:val="en-GB"/>
        </w:rPr>
      </w:pPr>
    </w:p>
    <w:p w14:paraId="644AA177" w14:textId="18EE9823" w:rsidR="00472DA9" w:rsidRDefault="00EF3AEA" w:rsidP="00472DA9">
      <w:pPr>
        <w:rPr>
          <w:b/>
          <w:bCs/>
          <w:lang w:val="en-GB"/>
        </w:rPr>
      </w:pPr>
      <w:bookmarkStart w:id="0" w:name="_GoBack"/>
      <w:bookmarkEnd w:id="0"/>
      <w:r>
        <w:rPr>
          <w:b/>
          <w:bCs/>
          <w:lang w:val="en-GB"/>
        </w:rPr>
        <w:t>Work packages</w:t>
      </w:r>
      <w:r w:rsidR="00472DA9">
        <w:rPr>
          <w:b/>
          <w:bCs/>
          <w:lang w:val="en-GB"/>
        </w:rPr>
        <w:t>:</w:t>
      </w:r>
    </w:p>
    <w:p w14:paraId="1E2144E0" w14:textId="77777777" w:rsidR="00472DA9" w:rsidRDefault="00472DA9" w:rsidP="00472DA9">
      <w:pPr>
        <w:rPr>
          <w:lang w:val="en-GB" w:eastAsia="fr-BE"/>
        </w:rPr>
      </w:pPr>
      <w:r>
        <w:rPr>
          <w:lang w:val="en-GB"/>
        </w:rPr>
        <w:t>EMC-LM applies a systematic approach divided into 10 coherent work packages (WP). WP1-5 are the core of the project and are related to analysis, setting frameworks and to develop/implement MOOCs for the labour market. WP6 specifically addresses policy making, creating the right conditions for deploying continuous education and training to attain the ET2020 objectives. WP7 (evaluation), WP8 (quality assurance) and WP10 (project management) facilitate the working steps. WP9 ensures dissemination, exploitation and sustainability and creates awareness.</w:t>
      </w:r>
    </w:p>
    <w:p w14:paraId="7D5BF567" w14:textId="77777777" w:rsidR="00472DA9" w:rsidRDefault="00472DA9" w:rsidP="00472DA9">
      <w:pPr>
        <w:rPr>
          <w:lang w:val="en-GB"/>
        </w:rPr>
      </w:pPr>
    </w:p>
    <w:p w14:paraId="4BE25AD1" w14:textId="77777777" w:rsidR="00472DA9" w:rsidRDefault="00472DA9" w:rsidP="00472DA9">
      <w:pPr>
        <w:spacing w:after="120" w:line="276" w:lineRule="auto"/>
        <w:contextualSpacing/>
        <w:rPr>
          <w:lang w:val="en-GB"/>
        </w:rPr>
      </w:pPr>
      <w:r>
        <w:rPr>
          <w:i/>
          <w:iCs/>
          <w:lang w:val="en-GB"/>
        </w:rPr>
        <w:t xml:space="preserve">WP1: Building a knowledge alliance responding to the needs of the EU labour market </w:t>
      </w:r>
      <w:r>
        <w:rPr>
          <w:lang w:val="en-GB"/>
        </w:rPr>
        <w:t>by online CE/CPD courses, facilitating the flow and exchange of knowledge between higher education, universities, employment services and enterprises. This alliance framework and policy agenda will further be developed as part of WP3, WP4 and WP6, respectively.</w:t>
      </w:r>
      <w:r>
        <w:rPr>
          <w:lang w:val="en-GB"/>
        </w:rPr>
        <w:br/>
        <w:t xml:space="preserve">Milestone (MS) 1.1 (M6): Report </w:t>
      </w:r>
      <w:r>
        <w:rPr>
          <w:i/>
          <w:iCs/>
          <w:lang w:val="en-GB"/>
        </w:rPr>
        <w:t xml:space="preserve">State of the art analysis </w:t>
      </w:r>
      <w:r>
        <w:rPr>
          <w:lang w:val="en-GB"/>
        </w:rPr>
        <w:t>of the needs on the labour market and the roles of MOOCs for CE/CPD and career development. Facilitating the flow and exchange of knowledge between higher education, employment services and enterprises.</w:t>
      </w:r>
      <w:r>
        <w:rPr>
          <w:lang w:val="en-GB"/>
        </w:rPr>
        <w:br/>
        <w:t xml:space="preserve">Milestone (MS) 1.2 (M8) Peer learning activity. </w:t>
      </w:r>
      <w:r>
        <w:rPr>
          <w:i/>
          <w:iCs/>
          <w:lang w:val="en-GB"/>
        </w:rPr>
        <w:t xml:space="preserve">Validation </w:t>
      </w:r>
      <w:r>
        <w:rPr>
          <w:lang w:val="en-GB"/>
        </w:rPr>
        <w:t>of the roles of MOOCs for CE/CPD and career development. Facilitating the flow and exchange of knowledge between higher education, employment services and enterprises</w:t>
      </w:r>
    </w:p>
    <w:p w14:paraId="45C2DB11" w14:textId="77777777" w:rsidR="00472DA9" w:rsidRDefault="00472DA9" w:rsidP="00472DA9">
      <w:pPr>
        <w:spacing w:after="120" w:line="276" w:lineRule="auto"/>
        <w:contextualSpacing/>
        <w:rPr>
          <w:i/>
          <w:iCs/>
          <w:lang w:val="en-GB"/>
        </w:rPr>
      </w:pPr>
      <w:r>
        <w:rPr>
          <w:lang w:val="en-GB"/>
        </w:rPr>
        <w:t>Milestone (MS) 1.3 (M10</w:t>
      </w:r>
      <w:r w:rsidR="00EF3AEA">
        <w:rPr>
          <w:lang w:val="en-GB"/>
        </w:rPr>
        <w:t>) A</w:t>
      </w:r>
      <w:r>
        <w:rPr>
          <w:i/>
          <w:iCs/>
          <w:lang w:val="en-GB"/>
        </w:rPr>
        <w:t xml:space="preserve"> collaboration framework for MOOCs for CE/CPD for the EU labour market</w:t>
      </w:r>
    </w:p>
    <w:p w14:paraId="5F5AFE87" w14:textId="77777777" w:rsidR="00472DA9" w:rsidRDefault="00472DA9" w:rsidP="00472DA9">
      <w:pPr>
        <w:rPr>
          <w:i/>
          <w:iCs/>
          <w:lang w:val="en-GB"/>
        </w:rPr>
      </w:pPr>
      <w:r>
        <w:rPr>
          <w:lang w:val="en-GB"/>
        </w:rPr>
        <w:t xml:space="preserve">Milestone (MS) 1.4. (M10) </w:t>
      </w:r>
      <w:r>
        <w:rPr>
          <w:i/>
          <w:iCs/>
          <w:lang w:val="en-GB"/>
        </w:rPr>
        <w:t xml:space="preserve">Knowledge alliance assembly  </w:t>
      </w:r>
    </w:p>
    <w:p w14:paraId="40E37BB3" w14:textId="77777777" w:rsidR="00472DA9" w:rsidRDefault="00472DA9" w:rsidP="00472DA9">
      <w:pPr>
        <w:rPr>
          <w:i/>
          <w:iCs/>
          <w:lang w:val="en-GB"/>
        </w:rPr>
      </w:pPr>
      <w:r>
        <w:rPr>
          <w:lang w:val="en-GB"/>
        </w:rPr>
        <w:t>Indicators (I): incorporates at least 15 different recent European studies, 18 different experts of 4 different sectors involved, min. 1.000 downloads, numbers increasing.</w:t>
      </w:r>
    </w:p>
    <w:p w14:paraId="720D6920" w14:textId="77777777" w:rsidR="00472DA9" w:rsidRDefault="00472DA9" w:rsidP="00472DA9">
      <w:pPr>
        <w:rPr>
          <w:i/>
          <w:iCs/>
          <w:lang w:val="en-GB"/>
        </w:rPr>
      </w:pPr>
    </w:p>
    <w:p w14:paraId="0786EE6F" w14:textId="77777777" w:rsidR="00472DA9" w:rsidRDefault="00472DA9" w:rsidP="00472DA9">
      <w:pPr>
        <w:rPr>
          <w:i/>
          <w:iCs/>
          <w:lang w:val="en-GB"/>
        </w:rPr>
      </w:pPr>
    </w:p>
    <w:p w14:paraId="5E75CAE6" w14:textId="77777777" w:rsidR="00472DA9" w:rsidRDefault="00472DA9" w:rsidP="00472DA9">
      <w:pPr>
        <w:rPr>
          <w:lang w:val="en-GB"/>
        </w:rPr>
      </w:pPr>
      <w:r>
        <w:rPr>
          <w:i/>
          <w:iCs/>
          <w:lang w:val="en-GB"/>
        </w:rPr>
        <w:t>WP2: Strengthening the EMC platforms by sharing expertise and collaboration impacting on the development, delivery and use of European MOOCs for CE/CPD.</w:t>
      </w:r>
      <w:r>
        <w:rPr>
          <w:lang w:val="en-GB"/>
        </w:rPr>
        <w:t xml:space="preserve"> WP2 will define a research framework from a European perspective with a specific focus on connecting and evaluating needs and impact for MOOC providers, learners and participants. </w:t>
      </w:r>
      <w:r>
        <w:rPr>
          <w:lang w:val="en-GB"/>
        </w:rPr>
        <w:br/>
        <w:t xml:space="preserve">Milestone (MS) 2.1 (M34): Three EMC </w:t>
      </w:r>
      <w:r w:rsidR="00EF3AEA">
        <w:rPr>
          <w:lang w:val="en-GB"/>
        </w:rPr>
        <w:t>seminars,</w:t>
      </w:r>
      <w:r>
        <w:rPr>
          <w:lang w:val="en-GB"/>
        </w:rPr>
        <w:t xml:space="preserve"> exploring collaboration models with external partners. </w:t>
      </w:r>
      <w:r>
        <w:rPr>
          <w:lang w:val="en-GB"/>
        </w:rPr>
        <w:br/>
        <w:t>Milestone (MS) 2.2 (M34): Handbook and guidelines for exchange of MOOCs between platforms/universities.</w:t>
      </w:r>
    </w:p>
    <w:p w14:paraId="67F5CAB2" w14:textId="77777777" w:rsidR="00472DA9" w:rsidRDefault="00472DA9" w:rsidP="00472DA9">
      <w:pPr>
        <w:rPr>
          <w:i/>
          <w:iCs/>
          <w:lang w:val="en-GB"/>
        </w:rPr>
      </w:pPr>
      <w:r>
        <w:rPr>
          <w:lang w:val="en-GB"/>
        </w:rPr>
        <w:t xml:space="preserve">The results of this WP are a partial input to WP3, empowering </w:t>
      </w:r>
    </w:p>
    <w:p w14:paraId="5B6DF324" w14:textId="77777777" w:rsidR="00472DA9" w:rsidRDefault="00472DA9" w:rsidP="00472DA9">
      <w:pPr>
        <w:rPr>
          <w:i/>
          <w:iCs/>
          <w:lang w:val="en-GB"/>
        </w:rPr>
      </w:pPr>
      <w:r>
        <w:rPr>
          <w:i/>
          <w:iCs/>
          <w:lang w:val="en-GB"/>
        </w:rPr>
        <w:t>Indicators: seminars with 15 participants, at least two staff and leaders from each EMC platform</w:t>
      </w:r>
    </w:p>
    <w:p w14:paraId="24159C2C" w14:textId="77777777" w:rsidR="00472DA9" w:rsidRDefault="00472DA9" w:rsidP="00472DA9">
      <w:pPr>
        <w:rPr>
          <w:i/>
          <w:iCs/>
          <w:lang w:val="en-GB"/>
        </w:rPr>
      </w:pPr>
    </w:p>
    <w:p w14:paraId="6C1513A1" w14:textId="77777777" w:rsidR="00472DA9" w:rsidRDefault="00472DA9" w:rsidP="00472DA9">
      <w:pPr>
        <w:spacing w:before="120" w:after="120"/>
        <w:rPr>
          <w:lang w:val="en-GB"/>
        </w:rPr>
      </w:pPr>
      <w:r>
        <w:rPr>
          <w:i/>
          <w:iCs/>
          <w:lang w:val="en-GB"/>
        </w:rPr>
        <w:t>WP3:</w:t>
      </w:r>
      <w:r>
        <w:rPr>
          <w:lang w:val="en-GB"/>
        </w:rPr>
        <w:t xml:space="preserve"> Empowering universities, employment services and companies in developing, delivering and using MOOCs for the EU labour market</w:t>
      </w:r>
      <w:r>
        <w:rPr>
          <w:i/>
          <w:iCs/>
          <w:lang w:val="en-GB"/>
        </w:rPr>
        <w:t xml:space="preserve">. </w:t>
      </w:r>
      <w:r>
        <w:rPr>
          <w:lang w:val="en-GB"/>
        </w:rPr>
        <w:t xml:space="preserve">WP3 aims at increasing the integration of MOOCs in CE/CPD and career development offerings by universities, employment services and </w:t>
      </w:r>
      <w:r w:rsidR="00EF3AEA">
        <w:rPr>
          <w:lang w:val="en-GB"/>
        </w:rPr>
        <w:t>companies (</w:t>
      </w:r>
      <w:r>
        <w:rPr>
          <w:lang w:val="en-GB"/>
        </w:rPr>
        <w:t xml:space="preserve">single </w:t>
      </w:r>
      <w:r w:rsidR="00EF3AEA">
        <w:rPr>
          <w:lang w:val="en-GB"/>
        </w:rPr>
        <w:t>modules, short</w:t>
      </w:r>
      <w:r>
        <w:rPr>
          <w:lang w:val="en-GB"/>
        </w:rPr>
        <w:t xml:space="preserve"> learning programs and degree programs by universities; training programs for the labour market by </w:t>
      </w:r>
      <w:r w:rsidR="00EF3AEA">
        <w:rPr>
          <w:lang w:val="en-GB"/>
        </w:rPr>
        <w:t>PES; business</w:t>
      </w:r>
      <w:r>
        <w:rPr>
          <w:lang w:val="en-GB"/>
        </w:rPr>
        <w:t xml:space="preserve"> training to employees, HRD/HRM services in companies). </w:t>
      </w:r>
    </w:p>
    <w:p w14:paraId="7F9F0AE9" w14:textId="77777777" w:rsidR="00472DA9" w:rsidRDefault="00472DA9" w:rsidP="00472DA9">
      <w:pPr>
        <w:rPr>
          <w:lang w:val="en-GB"/>
        </w:rPr>
      </w:pPr>
      <w:r>
        <w:rPr>
          <w:lang w:val="en-GB"/>
        </w:rPr>
        <w:t xml:space="preserve">Milestone (MS) 3 .1 (M30) Report on three empowering seminars on modes of integration </w:t>
      </w:r>
      <w:r w:rsidR="00EF3AEA">
        <w:rPr>
          <w:lang w:val="en-GB"/>
        </w:rPr>
        <w:t>of MOOCs</w:t>
      </w:r>
      <w:r>
        <w:rPr>
          <w:lang w:val="en-GB"/>
        </w:rPr>
        <w:t xml:space="preserve"> for universities, employment services and companies</w:t>
      </w:r>
      <w:r>
        <w:rPr>
          <w:lang w:val="en-GB"/>
        </w:rPr>
        <w:br/>
        <w:t>Milestone (MS) 3.2. (M32) Report on at 8 pilots on relevance/validity, quality and scalability of MOOCs for employment, innovation, career development and entrepreneurship, involving services to universities, employment services and companies.</w:t>
      </w:r>
    </w:p>
    <w:p w14:paraId="13727D91" w14:textId="77777777" w:rsidR="00472DA9" w:rsidRDefault="00472DA9" w:rsidP="00472DA9">
      <w:pPr>
        <w:rPr>
          <w:lang w:val="en-GB"/>
        </w:rPr>
      </w:pPr>
      <w:r>
        <w:rPr>
          <w:lang w:val="en-GB"/>
        </w:rPr>
        <w:t xml:space="preserve">Milestone (MS) 3.3. (M32) Updated framework for MOOCs for the EU Labour </w:t>
      </w:r>
      <w:r w:rsidR="00EF3AEA">
        <w:rPr>
          <w:lang w:val="en-GB"/>
        </w:rPr>
        <w:t>Market; new</w:t>
      </w:r>
      <w:r>
        <w:rPr>
          <w:lang w:val="en-GB"/>
        </w:rPr>
        <w:t xml:space="preserve"> version based on the results of the seminars and the pilots</w:t>
      </w:r>
    </w:p>
    <w:p w14:paraId="2A47CCF7" w14:textId="77777777" w:rsidR="00472DA9" w:rsidRDefault="00472DA9" w:rsidP="00472DA9">
      <w:pPr>
        <w:rPr>
          <w:i/>
          <w:iCs/>
          <w:lang w:val="en-GB"/>
        </w:rPr>
      </w:pPr>
      <w:r>
        <w:rPr>
          <w:i/>
          <w:iCs/>
          <w:lang w:val="en-GB"/>
        </w:rPr>
        <w:lastRenderedPageBreak/>
        <w:t xml:space="preserve">Indicators: Framework description based on 3 seminars and 8 pilots. </w:t>
      </w:r>
    </w:p>
    <w:p w14:paraId="1F8ED66E" w14:textId="77777777" w:rsidR="00472DA9" w:rsidRDefault="00472DA9" w:rsidP="00472DA9">
      <w:pPr>
        <w:rPr>
          <w:i/>
          <w:iCs/>
          <w:lang w:val="en-GB"/>
        </w:rPr>
      </w:pPr>
      <w:r>
        <w:rPr>
          <w:lang w:val="en-GB"/>
        </w:rPr>
        <w:t xml:space="preserve">Indicators: 8 Pilot MOOC completed by M26); involving the MOOC </w:t>
      </w:r>
      <w:r w:rsidR="00EF3AEA">
        <w:rPr>
          <w:lang w:val="en-GB"/>
        </w:rPr>
        <w:t>platforms,</w:t>
      </w:r>
      <w:r>
        <w:rPr>
          <w:lang w:val="en-GB"/>
        </w:rPr>
        <w:t xml:space="preserve"> at least 8 universities and 5 companies and a “massive” number of learners involved (as an average 10.000, wider than the partnership as also external individual learners will take courses on the </w:t>
      </w:r>
      <w:r w:rsidR="00EF3AEA">
        <w:rPr>
          <w:lang w:val="en-GB"/>
        </w:rPr>
        <w:t>platform, 1</w:t>
      </w:r>
      <w:r>
        <w:rPr>
          <w:lang w:val="en-GB"/>
        </w:rPr>
        <w:t xml:space="preserve"> comprehensive evaluation report (M31)</w:t>
      </w:r>
    </w:p>
    <w:p w14:paraId="45C5045D" w14:textId="77777777" w:rsidR="00472DA9" w:rsidRDefault="00472DA9" w:rsidP="00472DA9">
      <w:pPr>
        <w:rPr>
          <w:i/>
          <w:iCs/>
          <w:lang w:val="en-GB"/>
        </w:rPr>
      </w:pPr>
    </w:p>
    <w:p w14:paraId="32454BC9" w14:textId="77777777" w:rsidR="00472DA9" w:rsidRDefault="00472DA9" w:rsidP="00472DA9">
      <w:pPr>
        <w:rPr>
          <w:lang w:val="en-GB"/>
        </w:rPr>
      </w:pPr>
      <w:r>
        <w:rPr>
          <w:i/>
          <w:iCs/>
          <w:lang w:val="en-GB"/>
        </w:rPr>
        <w:t>WP4: Assessment and recognition</w:t>
      </w:r>
      <w:r>
        <w:rPr>
          <w:lang w:val="en-GB"/>
        </w:rPr>
        <w:t xml:space="preserve"> - review existing schemes for recognising MOOC learning, the market models and drivers for doing so and produce a set of models and guidelines for best practice and implementation.</w:t>
      </w:r>
      <w:r>
        <w:rPr>
          <w:lang w:val="en-GB"/>
        </w:rPr>
        <w:br/>
        <w:t xml:space="preserve">Milestone MS 4.1 (M12): </w:t>
      </w:r>
      <w:r>
        <w:rPr>
          <w:i/>
          <w:iCs/>
          <w:lang w:val="en-GB"/>
        </w:rPr>
        <w:t>Compendium on good practices in assessment and recognition</w:t>
      </w:r>
      <w:r>
        <w:rPr>
          <w:lang w:val="en-GB"/>
        </w:rPr>
        <w:t>.</w:t>
      </w:r>
      <w:r>
        <w:rPr>
          <w:lang w:val="en-GB"/>
        </w:rPr>
        <w:br/>
        <w:t>Milestone MS 4.2 (M32</w:t>
      </w:r>
      <w:r w:rsidR="00EF3AEA">
        <w:rPr>
          <w:lang w:val="en-GB"/>
        </w:rPr>
        <w:t>) Models</w:t>
      </w:r>
      <w:r>
        <w:rPr>
          <w:lang w:val="en-GB"/>
        </w:rPr>
        <w:t xml:space="preserve"> and guidelines for assessment and recognition. </w:t>
      </w:r>
    </w:p>
    <w:p w14:paraId="27793C5B" w14:textId="77777777" w:rsidR="00472DA9" w:rsidRDefault="00472DA9" w:rsidP="00472DA9">
      <w:pPr>
        <w:rPr>
          <w:lang w:val="en-GB"/>
        </w:rPr>
      </w:pPr>
      <w:r>
        <w:rPr>
          <w:lang w:val="en-GB"/>
        </w:rPr>
        <w:t xml:space="preserve">Milestone MS 4.3. (M34) </w:t>
      </w:r>
      <w:r>
        <w:rPr>
          <w:i/>
          <w:iCs/>
          <w:lang w:val="en-GB"/>
        </w:rPr>
        <w:t xml:space="preserve">The framework for collaboration within the knowledge alliance, incl. models and guidelines. </w:t>
      </w:r>
      <w:r>
        <w:rPr>
          <w:lang w:val="en-GB"/>
        </w:rPr>
        <w:t xml:space="preserve">Updated version in M32, also based on the pilots in WP3.  </w:t>
      </w:r>
    </w:p>
    <w:p w14:paraId="710D3CD5" w14:textId="77777777" w:rsidR="00472DA9" w:rsidRDefault="00472DA9" w:rsidP="00472DA9">
      <w:pPr>
        <w:rPr>
          <w:lang w:val="en-GB"/>
        </w:rPr>
      </w:pPr>
      <w:r>
        <w:rPr>
          <w:lang w:val="en-GB"/>
        </w:rPr>
        <w:t xml:space="preserve">Indicators: 1000 downloads compendium, Evaluation report of pilots that apply framework and guidelines, </w:t>
      </w:r>
    </w:p>
    <w:p w14:paraId="23E3A60D" w14:textId="77777777" w:rsidR="00472DA9" w:rsidRDefault="00472DA9" w:rsidP="00472DA9">
      <w:pPr>
        <w:rPr>
          <w:i/>
          <w:iCs/>
          <w:lang w:val="en-GB"/>
        </w:rPr>
      </w:pPr>
    </w:p>
    <w:p w14:paraId="6F65FF23" w14:textId="77777777" w:rsidR="00472DA9" w:rsidRDefault="00472DA9" w:rsidP="00472DA9">
      <w:pPr>
        <w:rPr>
          <w:lang w:val="en-GB"/>
        </w:rPr>
      </w:pPr>
      <w:r>
        <w:rPr>
          <w:i/>
          <w:iCs/>
          <w:lang w:val="en-GB"/>
        </w:rPr>
        <w:t>WP5: Create an increased visibility and acceptance of European MOOCs and MOOC platforms</w:t>
      </w:r>
      <w:r>
        <w:rPr>
          <w:lang w:val="en-GB"/>
        </w:rPr>
        <w:t xml:space="preserve"> in order to ensure an accelerated and sustainable use of MOOCs</w:t>
      </w:r>
      <w:r>
        <w:rPr>
          <w:i/>
          <w:iCs/>
          <w:lang w:val="en-GB"/>
        </w:rPr>
        <w:t xml:space="preserve"> </w:t>
      </w:r>
      <w:r>
        <w:rPr>
          <w:lang w:val="en-GB"/>
        </w:rPr>
        <w:t>for CE/CPD by employment services, companies and individuals.</w:t>
      </w:r>
    </w:p>
    <w:p w14:paraId="36F9C752" w14:textId="77777777" w:rsidR="00472DA9" w:rsidRDefault="00472DA9" w:rsidP="00472DA9">
      <w:pPr>
        <w:rPr>
          <w:lang w:val="en-GB"/>
        </w:rPr>
      </w:pPr>
      <w:r>
        <w:rPr>
          <w:lang w:val="en-GB"/>
        </w:rPr>
        <w:t xml:space="preserve">Milestone (MS) 5 .1 (M30): </w:t>
      </w:r>
      <w:r>
        <w:rPr>
          <w:i/>
          <w:iCs/>
          <w:lang w:val="en-GB"/>
        </w:rPr>
        <w:t>A portal for MOOCs for the EU Labour Market</w:t>
      </w:r>
      <w:r>
        <w:rPr>
          <w:lang w:val="en-GB"/>
        </w:rPr>
        <w:br/>
        <w:t xml:space="preserve">Milestone (MS) 5.2 (M12, M24, M32): </w:t>
      </w:r>
      <w:r>
        <w:rPr>
          <w:i/>
          <w:iCs/>
          <w:lang w:val="en-GB"/>
        </w:rPr>
        <w:t>Annual survey reports</w:t>
      </w:r>
      <w:r>
        <w:rPr>
          <w:lang w:val="en-GB"/>
        </w:rPr>
        <w:t xml:space="preserve"> on the </w:t>
      </w:r>
      <w:r w:rsidR="00EF3AEA">
        <w:rPr>
          <w:lang w:val="en-GB"/>
        </w:rPr>
        <w:t>national markets</w:t>
      </w:r>
      <w:r>
        <w:rPr>
          <w:lang w:val="en-GB"/>
        </w:rPr>
        <w:t xml:space="preserve"> and target groups for MOOCs and online CE/CPD </w:t>
      </w:r>
    </w:p>
    <w:p w14:paraId="276053F5" w14:textId="77777777" w:rsidR="00472DA9" w:rsidRDefault="00472DA9" w:rsidP="00472DA9">
      <w:pPr>
        <w:rPr>
          <w:i/>
          <w:iCs/>
          <w:lang w:val="en-GB"/>
        </w:rPr>
      </w:pPr>
      <w:r>
        <w:rPr>
          <w:lang w:val="en-GB"/>
        </w:rPr>
        <w:t xml:space="preserve">Milestone (MS) 5.3. (M12, M24, M32): Annual marketing plan EMC-LM, improving structural </w:t>
      </w:r>
      <w:r w:rsidR="00EF3AEA">
        <w:rPr>
          <w:lang w:val="en-GB"/>
        </w:rPr>
        <w:t>approaches to</w:t>
      </w:r>
      <w:r>
        <w:rPr>
          <w:lang w:val="en-GB"/>
        </w:rPr>
        <w:t xml:space="preserve"> these markets. Updates based on the annual survey reports. </w:t>
      </w:r>
    </w:p>
    <w:p w14:paraId="35819633" w14:textId="77777777" w:rsidR="00472DA9" w:rsidRDefault="00472DA9" w:rsidP="00472DA9">
      <w:pPr>
        <w:rPr>
          <w:i/>
          <w:iCs/>
          <w:lang w:val="en-GB"/>
        </w:rPr>
      </w:pPr>
      <w:r>
        <w:rPr>
          <w:i/>
          <w:iCs/>
          <w:lang w:val="en-GB"/>
        </w:rPr>
        <w:t xml:space="preserve">Milestone (MS) 5.4 (M24, M36) Framework for collaboration in the knowledge alliance (update)  </w:t>
      </w:r>
    </w:p>
    <w:p w14:paraId="476C0535" w14:textId="77777777" w:rsidR="00472DA9" w:rsidRDefault="00472DA9" w:rsidP="00472DA9">
      <w:pPr>
        <w:rPr>
          <w:i/>
          <w:iCs/>
          <w:lang w:val="en-GB"/>
        </w:rPr>
      </w:pPr>
      <w:r>
        <w:rPr>
          <w:i/>
          <w:iCs/>
          <w:lang w:val="en-GB"/>
        </w:rPr>
        <w:t>Indicators: Portal will be visited by very large numbers of visitors as it is supported by platforms, universities, employment services and companies EU-wide. survey involves 150 universities, 100 companies and 28 employment services</w:t>
      </w:r>
    </w:p>
    <w:p w14:paraId="1610A490" w14:textId="77777777" w:rsidR="00472DA9" w:rsidRDefault="00472DA9" w:rsidP="00472DA9">
      <w:pPr>
        <w:rPr>
          <w:i/>
          <w:iCs/>
          <w:lang w:val="en-GB"/>
        </w:rPr>
      </w:pPr>
    </w:p>
    <w:p w14:paraId="1785E7C8" w14:textId="77777777" w:rsidR="00472DA9" w:rsidRDefault="00472DA9" w:rsidP="00472DA9">
      <w:pPr>
        <w:rPr>
          <w:i/>
          <w:iCs/>
          <w:lang w:val="en-GB"/>
        </w:rPr>
      </w:pPr>
      <w:r>
        <w:rPr>
          <w:i/>
          <w:iCs/>
          <w:lang w:val="en-GB"/>
        </w:rPr>
        <w:t>WP6: Policy making on MOOCs for continuous education and CPD</w:t>
      </w:r>
      <w:r>
        <w:rPr>
          <w:lang w:val="en-GB"/>
        </w:rPr>
        <w:t xml:space="preserve"> - creating a European voice for European and national policy makers to ensure a European coverage for the development and use of MOOCs</w:t>
      </w:r>
      <w:r>
        <w:rPr>
          <w:lang w:val="en-GB"/>
        </w:rPr>
        <w:br/>
        <w:t xml:space="preserve">Milestone MS 6.1 (M11, M23, M35): </w:t>
      </w:r>
      <w:r>
        <w:rPr>
          <w:i/>
          <w:iCs/>
          <w:lang w:val="en-GB"/>
        </w:rPr>
        <w:t>Annual knowledge alliance assembly (pre-)conference</w:t>
      </w:r>
      <w:r>
        <w:rPr>
          <w:lang w:val="en-GB"/>
        </w:rPr>
        <w:br/>
        <w:t xml:space="preserve">Milestone MS 6.2 (M33): </w:t>
      </w:r>
      <w:r>
        <w:rPr>
          <w:i/>
          <w:iCs/>
          <w:lang w:val="en-GB"/>
        </w:rPr>
        <w:t>Different regional action plans and supporting regional events</w:t>
      </w:r>
    </w:p>
    <w:p w14:paraId="0719915E" w14:textId="77777777" w:rsidR="00472DA9" w:rsidRDefault="00472DA9" w:rsidP="00472DA9">
      <w:pPr>
        <w:rPr>
          <w:i/>
          <w:iCs/>
          <w:lang w:val="en-GB"/>
        </w:rPr>
      </w:pPr>
      <w:r>
        <w:rPr>
          <w:lang w:val="en-GB"/>
        </w:rPr>
        <w:t xml:space="preserve">Milestone MS 6.3 (M36): </w:t>
      </w:r>
      <w:r>
        <w:rPr>
          <w:i/>
          <w:iCs/>
          <w:lang w:val="en-GB"/>
        </w:rPr>
        <w:t xml:space="preserve">European policy forum </w:t>
      </w:r>
    </w:p>
    <w:p w14:paraId="7AEA6EFA" w14:textId="77777777" w:rsidR="00472DA9" w:rsidRDefault="00472DA9" w:rsidP="00472DA9">
      <w:pPr>
        <w:rPr>
          <w:i/>
          <w:iCs/>
          <w:lang w:val="en-GB"/>
        </w:rPr>
      </w:pPr>
      <w:r>
        <w:rPr>
          <w:lang w:val="en-GB"/>
        </w:rPr>
        <w:t xml:space="preserve">Milestone MS 6.4 (M36): </w:t>
      </w:r>
      <w:r>
        <w:rPr>
          <w:i/>
          <w:iCs/>
          <w:lang w:val="en-GB"/>
        </w:rPr>
        <w:t>European policy and action plan based on the ROMA approach</w:t>
      </w:r>
    </w:p>
    <w:p w14:paraId="0EB076FE" w14:textId="77777777" w:rsidR="00472DA9" w:rsidRDefault="00472DA9" w:rsidP="00472DA9">
      <w:pPr>
        <w:rPr>
          <w:lang w:val="en-GB"/>
        </w:rPr>
      </w:pPr>
      <w:r>
        <w:rPr>
          <w:lang w:val="en-GB"/>
        </w:rPr>
        <w:t>Indicators: 3 pre-conference events, 6 regional events, action plan.</w:t>
      </w:r>
    </w:p>
    <w:p w14:paraId="22D19FA7" w14:textId="77777777" w:rsidR="00472DA9" w:rsidRDefault="00472DA9" w:rsidP="00472DA9">
      <w:pPr>
        <w:rPr>
          <w:i/>
          <w:iCs/>
          <w:lang w:val="en-GB"/>
        </w:rPr>
      </w:pPr>
    </w:p>
    <w:p w14:paraId="5EE6980B" w14:textId="77777777" w:rsidR="00472DA9" w:rsidRDefault="00472DA9" w:rsidP="00472DA9">
      <w:pPr>
        <w:rPr>
          <w:lang w:val="en-GB"/>
        </w:rPr>
      </w:pPr>
      <w:r>
        <w:rPr>
          <w:i/>
          <w:iCs/>
          <w:lang w:val="en-GB"/>
        </w:rPr>
        <w:t>WP7: Quality Assurance and WP8: Evaluation</w:t>
      </w:r>
      <w:r>
        <w:rPr>
          <w:lang w:val="en-GB"/>
        </w:rPr>
        <w:br/>
        <w:t>Milestones: Quality assurance plan (M2), Evaluation framework (M3), Impact Assessment Methodology (M6), quality &amp; evaluation reports (M9, M18, M27, M36), interim report (M18) and final report (M36).</w:t>
      </w:r>
    </w:p>
    <w:p w14:paraId="4F63B7AF" w14:textId="77777777" w:rsidR="00472DA9" w:rsidRDefault="00472DA9" w:rsidP="00472DA9">
      <w:pPr>
        <w:rPr>
          <w:lang w:val="en-GB"/>
        </w:rPr>
      </w:pPr>
      <w:r>
        <w:rPr>
          <w:lang w:val="en-GB"/>
        </w:rPr>
        <w:t xml:space="preserve">Indicators: all promised deliverables including full reporting on quality and evaluation every 6 months.  </w:t>
      </w:r>
    </w:p>
    <w:p w14:paraId="3F8A9EAC" w14:textId="77777777" w:rsidR="00472DA9" w:rsidRDefault="00472DA9" w:rsidP="00472DA9">
      <w:pPr>
        <w:rPr>
          <w:lang w:val="en-GB"/>
        </w:rPr>
      </w:pPr>
    </w:p>
    <w:p w14:paraId="43F60E1E" w14:textId="77777777" w:rsidR="00472DA9" w:rsidRDefault="00472DA9" w:rsidP="00472DA9">
      <w:pPr>
        <w:rPr>
          <w:i/>
          <w:iCs/>
          <w:lang w:val="en-GB"/>
        </w:rPr>
      </w:pPr>
    </w:p>
    <w:p w14:paraId="51886260" w14:textId="77777777" w:rsidR="00472DA9" w:rsidRDefault="00472DA9" w:rsidP="00472DA9">
      <w:pPr>
        <w:rPr>
          <w:i/>
          <w:iCs/>
          <w:lang w:val="en-GB"/>
        </w:rPr>
      </w:pPr>
      <w:r>
        <w:rPr>
          <w:i/>
          <w:iCs/>
          <w:lang w:val="en-GB"/>
        </w:rPr>
        <w:t>WP8: Evaluation</w:t>
      </w:r>
    </w:p>
    <w:p w14:paraId="7832CFAB" w14:textId="77777777" w:rsidR="00472DA9" w:rsidRDefault="00472DA9" w:rsidP="00472DA9">
      <w:pPr>
        <w:rPr>
          <w:i/>
          <w:iCs/>
          <w:lang w:val="en-GB"/>
        </w:rPr>
      </w:pPr>
      <w:r>
        <w:rPr>
          <w:i/>
          <w:iCs/>
          <w:lang w:val="en-GB"/>
        </w:rPr>
        <w:t>Milestone MS 8.1 (M3): Evaluation framework</w:t>
      </w:r>
    </w:p>
    <w:p w14:paraId="5055C84F" w14:textId="77777777" w:rsidR="00472DA9" w:rsidRDefault="00472DA9" w:rsidP="00472DA9">
      <w:pPr>
        <w:rPr>
          <w:i/>
          <w:iCs/>
          <w:lang w:val="en-GB"/>
        </w:rPr>
      </w:pPr>
      <w:r>
        <w:rPr>
          <w:i/>
          <w:iCs/>
          <w:lang w:val="en-GB"/>
        </w:rPr>
        <w:t>Milestone MS 8.2: Evaluation and impact assessment reports</w:t>
      </w:r>
    </w:p>
    <w:p w14:paraId="05F25BD7" w14:textId="77777777" w:rsidR="00472DA9" w:rsidRDefault="00472DA9" w:rsidP="00472DA9">
      <w:pPr>
        <w:rPr>
          <w:i/>
          <w:iCs/>
          <w:lang w:val="en-GB"/>
        </w:rPr>
      </w:pPr>
      <w:r>
        <w:rPr>
          <w:i/>
          <w:iCs/>
          <w:lang w:val="en-GB"/>
        </w:rPr>
        <w:t>1st Interim evaluation &amp; impact assessment report delivered      M18</w:t>
      </w:r>
    </w:p>
    <w:p w14:paraId="3DB9F21D" w14:textId="77777777" w:rsidR="00472DA9" w:rsidRDefault="00472DA9" w:rsidP="00472DA9">
      <w:pPr>
        <w:rPr>
          <w:i/>
          <w:iCs/>
          <w:lang w:val="en-GB"/>
        </w:rPr>
      </w:pPr>
      <w:r>
        <w:rPr>
          <w:i/>
          <w:iCs/>
          <w:lang w:val="en-GB"/>
        </w:rPr>
        <w:t>2nd interim evaluation &amp; impact assessment report delivered    M24</w:t>
      </w:r>
    </w:p>
    <w:p w14:paraId="218A266B" w14:textId="77777777" w:rsidR="00472DA9" w:rsidRDefault="00472DA9" w:rsidP="00472DA9">
      <w:pPr>
        <w:rPr>
          <w:i/>
          <w:iCs/>
          <w:lang w:val="en-GB"/>
        </w:rPr>
      </w:pPr>
      <w:r>
        <w:rPr>
          <w:i/>
          <w:iCs/>
          <w:lang w:val="en-GB"/>
        </w:rPr>
        <w:lastRenderedPageBreak/>
        <w:t>3rd interim evaluation &amp; impact assessment report delivered     M30</w:t>
      </w:r>
    </w:p>
    <w:p w14:paraId="4BF08F37" w14:textId="77777777" w:rsidR="00472DA9" w:rsidRDefault="00472DA9" w:rsidP="00472DA9">
      <w:pPr>
        <w:rPr>
          <w:i/>
          <w:iCs/>
          <w:lang w:val="en-GB"/>
        </w:rPr>
      </w:pPr>
      <w:r>
        <w:rPr>
          <w:i/>
          <w:iCs/>
          <w:lang w:val="en-GB"/>
        </w:rPr>
        <w:t>Final evaluation and impact assessment report delivered              M36</w:t>
      </w:r>
    </w:p>
    <w:p w14:paraId="66B32198" w14:textId="77777777" w:rsidR="00472DA9" w:rsidRDefault="00472DA9" w:rsidP="00472DA9">
      <w:pPr>
        <w:rPr>
          <w:i/>
          <w:iCs/>
          <w:lang w:val="en-GB"/>
        </w:rPr>
      </w:pPr>
    </w:p>
    <w:p w14:paraId="011CC4A6" w14:textId="77777777" w:rsidR="00472DA9" w:rsidRDefault="00472DA9" w:rsidP="00472DA9">
      <w:pPr>
        <w:rPr>
          <w:lang w:val="en-GB"/>
        </w:rPr>
      </w:pPr>
      <w:r>
        <w:rPr>
          <w:i/>
          <w:iCs/>
          <w:lang w:val="en-GB"/>
        </w:rPr>
        <w:t>WP9 Dissemination &amp; Exploitation ensure the short-term and long-term impact &amp; target group involvement</w:t>
      </w:r>
      <w:r>
        <w:rPr>
          <w:lang w:val="en-GB"/>
        </w:rPr>
        <w:br/>
        <w:t>Milestones : Dissemination strategy (M3), Exploitation &amp; sustainability strategy (M10, M18, M36), Website that includes the portal of European MOOC platforms (M6, M32), Final conference (M35), EMC-LM exploitation strategy (M36)</w:t>
      </w:r>
      <w:r>
        <w:rPr>
          <w:lang w:val="en-GB"/>
        </w:rPr>
        <w:br/>
        <w:t xml:space="preserve">Indicators 150 poster, 5 Banners/Roll-Ups, min. 100 letters of support from businesses &amp; HEIs, 10.000 website / portal unique visitors, presentations at min. 20 project relevant events </w:t>
      </w:r>
    </w:p>
    <w:p w14:paraId="47B0D485" w14:textId="77777777" w:rsidR="00472DA9" w:rsidRDefault="00472DA9" w:rsidP="00472DA9">
      <w:pPr>
        <w:rPr>
          <w:i/>
          <w:iCs/>
          <w:lang w:val="en-GB"/>
        </w:rPr>
      </w:pPr>
    </w:p>
    <w:p w14:paraId="65D5BF58" w14:textId="77777777" w:rsidR="00472DA9" w:rsidRDefault="00472DA9" w:rsidP="00472DA9">
      <w:pPr>
        <w:rPr>
          <w:i/>
          <w:iCs/>
          <w:lang w:val="en-GB"/>
        </w:rPr>
      </w:pPr>
      <w:r>
        <w:rPr>
          <w:i/>
          <w:iCs/>
          <w:lang w:val="en-GB"/>
        </w:rPr>
        <w:t>WP10: Management</w:t>
      </w:r>
    </w:p>
    <w:p w14:paraId="541A6DC8" w14:textId="77777777" w:rsidR="00472DA9" w:rsidRDefault="00472DA9" w:rsidP="00472DA9">
      <w:pPr>
        <w:rPr>
          <w:lang w:val="en-GB"/>
        </w:rPr>
      </w:pPr>
      <w:r>
        <w:rPr>
          <w:lang w:val="en-GB"/>
        </w:rPr>
        <w:t xml:space="preserve">Milestone (MS) 10.1. </w:t>
      </w:r>
      <w:r>
        <w:rPr>
          <w:i/>
          <w:iCs/>
          <w:lang w:val="en-GB"/>
        </w:rPr>
        <w:t>Project management handbook (M2)</w:t>
      </w:r>
    </w:p>
    <w:p w14:paraId="14F27131" w14:textId="77777777" w:rsidR="00472DA9" w:rsidRDefault="00472DA9" w:rsidP="00472DA9">
      <w:pPr>
        <w:rPr>
          <w:lang w:val="en-GB"/>
        </w:rPr>
      </w:pPr>
      <w:r>
        <w:rPr>
          <w:lang w:val="en-GB"/>
        </w:rPr>
        <w:t xml:space="preserve">Milestone (MS)10.2. </w:t>
      </w:r>
      <w:r>
        <w:rPr>
          <w:i/>
          <w:iCs/>
          <w:lang w:val="en-GB"/>
        </w:rPr>
        <w:t>Project Management Cockpit with dashboard (M2)</w:t>
      </w:r>
    </w:p>
    <w:p w14:paraId="33ED2EFB" w14:textId="77777777" w:rsidR="00472DA9" w:rsidRDefault="00472DA9" w:rsidP="00472DA9">
      <w:pPr>
        <w:rPr>
          <w:lang w:val="en-GB"/>
        </w:rPr>
      </w:pPr>
      <w:r>
        <w:rPr>
          <w:lang w:val="en-GB"/>
        </w:rPr>
        <w:t xml:space="preserve">Milestone (MS) 10.3. </w:t>
      </w:r>
      <w:r>
        <w:rPr>
          <w:i/>
          <w:iCs/>
          <w:lang w:val="en-GB"/>
        </w:rPr>
        <w:t>Consortium and partner agreements (M3)</w:t>
      </w:r>
    </w:p>
    <w:p w14:paraId="2D302648" w14:textId="77777777" w:rsidR="00472DA9" w:rsidRDefault="00472DA9" w:rsidP="00472DA9">
      <w:pPr>
        <w:rPr>
          <w:lang w:val="en-GB"/>
        </w:rPr>
      </w:pPr>
      <w:r>
        <w:rPr>
          <w:lang w:val="en-GB"/>
        </w:rPr>
        <w:t xml:space="preserve">Milestone (MS) 10.4. </w:t>
      </w:r>
      <w:r>
        <w:rPr>
          <w:i/>
          <w:iCs/>
          <w:lang w:val="en-GB"/>
        </w:rPr>
        <w:t>Compendium of project meeting minutes (</w:t>
      </w:r>
      <w:r>
        <w:rPr>
          <w:lang w:val="en-GB"/>
        </w:rPr>
        <w:t>M12, M24 and M36)</w:t>
      </w:r>
    </w:p>
    <w:p w14:paraId="2B395C7E" w14:textId="77777777" w:rsidR="00472DA9" w:rsidRDefault="00472DA9" w:rsidP="00472DA9">
      <w:pPr>
        <w:rPr>
          <w:lang w:val="en-GB"/>
        </w:rPr>
      </w:pPr>
      <w:r>
        <w:rPr>
          <w:lang w:val="en-GB"/>
        </w:rPr>
        <w:t xml:space="preserve">Milestone (MS) 10.5. </w:t>
      </w:r>
      <w:r>
        <w:rPr>
          <w:i/>
          <w:iCs/>
          <w:lang w:val="en-GB"/>
        </w:rPr>
        <w:t>Interim and final reports (</w:t>
      </w:r>
      <w:r>
        <w:rPr>
          <w:lang w:val="en-GB"/>
        </w:rPr>
        <w:t>M12, M24 and M36)</w:t>
      </w:r>
    </w:p>
    <w:p w14:paraId="529E1A6D" w14:textId="77777777" w:rsidR="00472DA9" w:rsidRDefault="00472DA9" w:rsidP="00472DA9">
      <w:pPr>
        <w:rPr>
          <w:lang w:val="en-GB"/>
        </w:rPr>
      </w:pPr>
      <w:r>
        <w:rPr>
          <w:lang w:val="en-GB"/>
        </w:rPr>
        <w:t>Indicators: 1 PM Cockpit (dashboard), 1 Project handbook, 1 quality management system (quality plan), 11 core product assessment fiches, 2 external and 4 internal QA reports, 30 interviews on process QA, 4 MOOC implementation QA assessments, 19 meeting evaluations, 4 Evaluation &amp; impact assessment reports, 5 PM meetings, 5 internal reports, 1 Interim &amp; 1 final report</w:t>
      </w:r>
    </w:p>
    <w:p w14:paraId="16689A79" w14:textId="77777777" w:rsidR="00472DA9" w:rsidRDefault="00472DA9" w:rsidP="00472DA9">
      <w:pPr>
        <w:spacing w:before="120" w:after="120"/>
        <w:rPr>
          <w:rFonts w:ascii="Times New Roman" w:hAnsi="Times New Roman" w:cs="Times New Roman"/>
          <w:i/>
          <w:iCs/>
          <w:sz w:val="20"/>
          <w:szCs w:val="20"/>
          <w:lang w:val="en-GB"/>
        </w:rPr>
      </w:pPr>
    </w:p>
    <w:p w14:paraId="45FAC363" w14:textId="77777777" w:rsidR="00472DA9" w:rsidRDefault="00472DA9" w:rsidP="00472DA9">
      <w:pPr>
        <w:rPr>
          <w:lang w:val="en-GB"/>
        </w:rPr>
      </w:pPr>
    </w:p>
    <w:p w14:paraId="402685FB" w14:textId="77777777" w:rsidR="00B76DE6" w:rsidRPr="00EF3AEA" w:rsidRDefault="00B76DE6">
      <w:pPr>
        <w:rPr>
          <w:lang w:val="en-GB"/>
        </w:rPr>
      </w:pPr>
    </w:p>
    <w:sectPr w:rsidR="00B76DE6" w:rsidRPr="00EF3AEA" w:rsidSect="00354ECC">
      <w:head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F0DDE" w14:textId="77777777" w:rsidR="00861A41" w:rsidRDefault="00861A41" w:rsidP="0061011E">
      <w:r>
        <w:separator/>
      </w:r>
    </w:p>
  </w:endnote>
  <w:endnote w:type="continuationSeparator" w:id="0">
    <w:p w14:paraId="44728B1D" w14:textId="77777777" w:rsidR="00861A41" w:rsidRDefault="00861A41" w:rsidP="0061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7CB20" w14:textId="77777777" w:rsidR="00861A41" w:rsidRDefault="00861A41" w:rsidP="0061011E">
      <w:r>
        <w:separator/>
      </w:r>
    </w:p>
  </w:footnote>
  <w:footnote w:type="continuationSeparator" w:id="0">
    <w:p w14:paraId="67EF8E19" w14:textId="77777777" w:rsidR="00861A41" w:rsidRDefault="00861A41" w:rsidP="0061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B13C" w14:textId="121E7291" w:rsidR="0061011E" w:rsidRPr="00284B0B" w:rsidRDefault="00B70173" w:rsidP="00284B0B">
    <w:pPr>
      <w:pStyle w:val="Koptekst"/>
      <w:jc w:val="right"/>
      <w:rPr>
        <w:lang w:val="en-GB"/>
      </w:rPr>
    </w:pPr>
    <w:r>
      <w:rPr>
        <w:noProof/>
        <w:lang w:eastAsia="nl-NL"/>
      </w:rPr>
      <w:drawing>
        <wp:anchor distT="0" distB="0" distL="114300" distR="114300" simplePos="0" relativeHeight="251659264" behindDoc="0" locked="0" layoutInCell="1" hidden="0" allowOverlap="1" wp14:anchorId="351DD77A" wp14:editId="7C188F21">
          <wp:simplePos x="0" y="0"/>
          <wp:positionH relativeFrom="margin">
            <wp:align>left</wp:align>
          </wp:positionH>
          <wp:positionV relativeFrom="paragraph">
            <wp:posOffset>-257810</wp:posOffset>
          </wp:positionV>
          <wp:extent cx="1876425" cy="86169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6425" cy="861695"/>
                  </a:xfrm>
                  <a:prstGeom prst="rect">
                    <a:avLst/>
                  </a:prstGeom>
                  <a:ln/>
                </pic:spPr>
              </pic:pic>
            </a:graphicData>
          </a:graphic>
        </wp:anchor>
      </w:drawing>
    </w:r>
    <w:r>
      <w:rPr>
        <w:lang w:val="en-GB"/>
      </w:rPr>
      <w:t>Annex 6</w:t>
    </w:r>
    <w:r w:rsidR="00EF3AEA" w:rsidRPr="00284B0B">
      <w:rPr>
        <w:lang w:val="en-GB"/>
      </w:rPr>
      <w:t>: Summary EMC-Labour Market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A9"/>
    <w:rsid w:val="00053825"/>
    <w:rsid w:val="00284B0B"/>
    <w:rsid w:val="002E4239"/>
    <w:rsid w:val="00354ECC"/>
    <w:rsid w:val="00472DA9"/>
    <w:rsid w:val="0061011E"/>
    <w:rsid w:val="00736F35"/>
    <w:rsid w:val="00861A41"/>
    <w:rsid w:val="00B70173"/>
    <w:rsid w:val="00B76DE6"/>
    <w:rsid w:val="00CC656D"/>
    <w:rsid w:val="00D6372E"/>
    <w:rsid w:val="00EF3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D469"/>
  <w15:chartTrackingRefBased/>
  <w15:docId w15:val="{27E3C6A0-99F6-454E-93F1-C76C5B9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72DA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72DA9"/>
    <w:pPr>
      <w:spacing w:before="100" w:beforeAutospacing="1" w:after="100" w:afterAutospacing="1"/>
    </w:pPr>
    <w:rPr>
      <w:lang w:eastAsia="nl-NL"/>
    </w:rPr>
  </w:style>
  <w:style w:type="paragraph" w:styleId="Koptekst">
    <w:name w:val="header"/>
    <w:basedOn w:val="Standaard"/>
    <w:link w:val="KoptekstChar"/>
    <w:uiPriority w:val="99"/>
    <w:unhideWhenUsed/>
    <w:rsid w:val="0061011E"/>
    <w:pPr>
      <w:tabs>
        <w:tab w:val="center" w:pos="4536"/>
        <w:tab w:val="right" w:pos="9072"/>
      </w:tabs>
    </w:pPr>
  </w:style>
  <w:style w:type="character" w:customStyle="1" w:styleId="KoptekstChar">
    <w:name w:val="Koptekst Char"/>
    <w:basedOn w:val="Standaardalinea-lettertype"/>
    <w:link w:val="Koptekst"/>
    <w:uiPriority w:val="99"/>
    <w:rsid w:val="0061011E"/>
    <w:rPr>
      <w:rFonts w:ascii="Calibri" w:hAnsi="Calibri" w:cs="Calibri"/>
    </w:rPr>
  </w:style>
  <w:style w:type="paragraph" w:styleId="Voettekst">
    <w:name w:val="footer"/>
    <w:basedOn w:val="Standaard"/>
    <w:link w:val="VoettekstChar"/>
    <w:uiPriority w:val="99"/>
    <w:unhideWhenUsed/>
    <w:rsid w:val="0061011E"/>
    <w:pPr>
      <w:tabs>
        <w:tab w:val="center" w:pos="4536"/>
        <w:tab w:val="right" w:pos="9072"/>
      </w:tabs>
    </w:pPr>
  </w:style>
  <w:style w:type="character" w:customStyle="1" w:styleId="VoettekstChar">
    <w:name w:val="Voettekst Char"/>
    <w:basedOn w:val="Standaardalinea-lettertype"/>
    <w:link w:val="Voettekst"/>
    <w:uiPriority w:val="99"/>
    <w:rsid w:val="0061011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8520">
      <w:bodyDiv w:val="1"/>
      <w:marLeft w:val="0"/>
      <w:marRight w:val="0"/>
      <w:marTop w:val="0"/>
      <w:marBottom w:val="0"/>
      <w:divBdr>
        <w:top w:val="none" w:sz="0" w:space="0" w:color="auto"/>
        <w:left w:val="none" w:sz="0" w:space="0" w:color="auto"/>
        <w:bottom w:val="none" w:sz="0" w:space="0" w:color="auto"/>
        <w:right w:val="none" w:sz="0" w:space="0" w:color="auto"/>
      </w:divBdr>
    </w:div>
    <w:div w:id="7904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087693BF8074B8B681B343E6584EA" ma:contentTypeVersion="6" ma:contentTypeDescription="Een nieuw document maken." ma:contentTypeScope="" ma:versionID="72a7d9e869834db2c4d38083ba33da42">
  <xsd:schema xmlns:xsd="http://www.w3.org/2001/XMLSchema" xmlns:xs="http://www.w3.org/2001/XMLSchema" xmlns:p="http://schemas.microsoft.com/office/2006/metadata/properties" xmlns:ns2="7837f8de-1854-4099-b2fa-0de2ad105735" xmlns:ns3="838542a4-7dab-4c59-b88b-1aa671ef4f64" targetNamespace="http://schemas.microsoft.com/office/2006/metadata/properties" ma:root="true" ma:fieldsID="fa48e7cf63ed9ab1dbbd3b3ec442a408" ns2:_="" ns3:_="">
    <xsd:import namespace="7837f8de-1854-4099-b2fa-0de2ad105735"/>
    <xsd:import namespace="838542a4-7dab-4c59-b88b-1aa671ef4f6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7f8de-1854-4099-b2fa-0de2ad10573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542a4-7dab-4c59-b88b-1aa671ef4f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CFD84-020B-4AAB-8199-C097995C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7f8de-1854-4099-b2fa-0de2ad105735"/>
    <ds:schemaRef ds:uri="838542a4-7dab-4c59-b88b-1aa671ef4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11E25-C824-4BEF-A664-D580EFE2A88B}">
  <ds:schemaRefs>
    <ds:schemaRef ds:uri="http://schemas.microsoft.com/sharepoint/v3/contenttype/forms"/>
  </ds:schemaRefs>
</ds:datastoreItem>
</file>

<file path=customXml/itemProps3.xml><?xml version="1.0" encoding="utf-8"?>
<ds:datastoreItem xmlns:ds="http://schemas.openxmlformats.org/officeDocument/2006/customXml" ds:itemID="{ED7D7D0C-42C6-4AE2-9B14-8FC237A3C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8874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4</cp:revision>
  <dcterms:created xsi:type="dcterms:W3CDTF">2018-03-08T09:26:00Z</dcterms:created>
  <dcterms:modified xsi:type="dcterms:W3CDTF">2018-09-20T14:39:00Z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0x010100480087693BF8074B8B681B343E6584EA</vt:lpwstr>
  </property>
</Properties>
</file>